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B3" w:rsidRDefault="00151FB3" w:rsidP="00151FB3">
      <w:pPr>
        <w:spacing w:line="276" w:lineRule="auto"/>
        <w:jc w:val="right"/>
        <w:rPr>
          <w:rFonts w:ascii="Book Antiqua" w:hAnsi="Book Antiqua" w:cs="Gill Sans Light"/>
          <w:iCs/>
          <w:sz w:val="20"/>
          <w:szCs w:val="20"/>
          <w:lang w:val="es-AR"/>
        </w:rPr>
      </w:pPr>
      <w:bookmarkStart w:id="0" w:name="_GoBack"/>
      <w:bookmarkEnd w:id="0"/>
      <w:r w:rsidRPr="003342B5">
        <w:rPr>
          <w:rFonts w:ascii="Book Antiqua" w:hAnsi="Book Antiqua" w:cs="Gill Sans Light"/>
          <w:sz w:val="20"/>
          <w:szCs w:val="20"/>
        </w:rPr>
        <w:t>Ciudad Autónoma de Buenos Aires,</w:t>
      </w:r>
      <w:r>
        <w:rPr>
          <w:rFonts w:ascii="Book Antiqua" w:hAnsi="Book Antiqua" w:cs="Gill Sans Light"/>
          <w:sz w:val="20"/>
          <w:szCs w:val="20"/>
        </w:rPr>
        <w:t xml:space="preserve"> 17 </w:t>
      </w:r>
      <w:r w:rsidRPr="003342B5">
        <w:rPr>
          <w:rFonts w:ascii="Book Antiqua" w:hAnsi="Book Antiqua" w:cs="Gill Sans Light"/>
          <w:sz w:val="20"/>
          <w:szCs w:val="20"/>
        </w:rPr>
        <w:t xml:space="preserve">de </w:t>
      </w:r>
      <w:r>
        <w:rPr>
          <w:rFonts w:ascii="Book Antiqua" w:hAnsi="Book Antiqua" w:cs="Gill Sans Light"/>
          <w:iCs/>
          <w:sz w:val="20"/>
          <w:szCs w:val="20"/>
          <w:lang w:val="es-AR"/>
        </w:rPr>
        <w:t>septiembre</w:t>
      </w:r>
      <w:r w:rsidRPr="003342B5">
        <w:rPr>
          <w:rFonts w:ascii="Book Antiqua" w:hAnsi="Book Antiqua" w:cs="Gill Sans Light"/>
          <w:iCs/>
          <w:sz w:val="20"/>
          <w:szCs w:val="20"/>
          <w:lang w:val="es-AR"/>
        </w:rPr>
        <w:t xml:space="preserve"> </w:t>
      </w:r>
      <w:r w:rsidRPr="003342B5">
        <w:rPr>
          <w:rFonts w:ascii="Book Antiqua" w:hAnsi="Book Antiqua" w:cs="Gill Sans Light"/>
          <w:sz w:val="20"/>
          <w:szCs w:val="20"/>
        </w:rPr>
        <w:t xml:space="preserve">de </w:t>
      </w:r>
      <w:r w:rsidRPr="003342B5">
        <w:rPr>
          <w:rFonts w:ascii="Book Antiqua" w:hAnsi="Book Antiqua" w:cs="Gill Sans Light"/>
          <w:iCs/>
          <w:sz w:val="20"/>
          <w:szCs w:val="20"/>
          <w:lang w:val="es-AR"/>
        </w:rPr>
        <w:t>201</w:t>
      </w:r>
      <w:r>
        <w:rPr>
          <w:rFonts w:ascii="Book Antiqua" w:hAnsi="Book Antiqua" w:cs="Gill Sans Light"/>
          <w:iCs/>
          <w:sz w:val="20"/>
          <w:szCs w:val="20"/>
          <w:lang w:val="es-AR"/>
        </w:rPr>
        <w:t>9</w:t>
      </w:r>
    </w:p>
    <w:p w:rsidR="00151FB3" w:rsidRPr="008B5E88" w:rsidRDefault="00151FB3" w:rsidP="00151FB3">
      <w:pPr>
        <w:spacing w:line="276" w:lineRule="auto"/>
        <w:jc w:val="right"/>
        <w:rPr>
          <w:rFonts w:ascii="Book Antiqua" w:hAnsi="Book Antiqua" w:cs="Gill Sans Light"/>
          <w:sz w:val="20"/>
          <w:szCs w:val="20"/>
        </w:rPr>
      </w:pPr>
    </w:p>
    <w:p w:rsidR="00151FB3" w:rsidRPr="003342B5" w:rsidRDefault="00151FB3" w:rsidP="00151FB3">
      <w:pPr>
        <w:spacing w:line="276" w:lineRule="auto"/>
        <w:ind w:left="567" w:firstLine="0"/>
        <w:rPr>
          <w:rFonts w:ascii="Book Antiqua" w:hAnsi="Book Antiqua" w:cs="Gill Sans Light"/>
          <w:sz w:val="20"/>
          <w:szCs w:val="20"/>
        </w:rPr>
      </w:pPr>
    </w:p>
    <w:p w:rsidR="00151FB3" w:rsidRDefault="00151FB3" w:rsidP="00151FB3">
      <w:pPr>
        <w:spacing w:line="276" w:lineRule="auto"/>
        <w:ind w:firstLine="0"/>
        <w:jc w:val="right"/>
        <w:rPr>
          <w:rFonts w:ascii="Book Antiqua" w:hAnsi="Book Antiqua"/>
          <w:b/>
          <w:sz w:val="20"/>
          <w:szCs w:val="20"/>
          <w:lang w:val="es-ES"/>
        </w:rPr>
      </w:pPr>
      <w:r w:rsidRPr="00E641CF">
        <w:rPr>
          <w:rFonts w:ascii="Book Antiqua" w:hAnsi="Book Antiqua"/>
          <w:b/>
          <w:sz w:val="20"/>
          <w:szCs w:val="20"/>
          <w:u w:val="single"/>
          <w:lang w:val="es-ES"/>
        </w:rPr>
        <w:t>REF:</w:t>
      </w:r>
      <w:r>
        <w:rPr>
          <w:rFonts w:ascii="Book Antiqua" w:hAnsi="Book Antiqua"/>
          <w:b/>
          <w:sz w:val="20"/>
          <w:szCs w:val="20"/>
          <w:lang w:val="es-ES"/>
        </w:rPr>
        <w:t xml:space="preserve"> HECHO RELEVANTE.</w:t>
      </w:r>
    </w:p>
    <w:p w:rsidR="00151FB3" w:rsidRPr="00E641CF" w:rsidRDefault="00151FB3" w:rsidP="00151FB3">
      <w:pPr>
        <w:spacing w:line="276" w:lineRule="auto"/>
        <w:ind w:firstLine="0"/>
        <w:jc w:val="right"/>
        <w:rPr>
          <w:rFonts w:ascii="Book Antiqua" w:hAnsi="Book Antiqua"/>
          <w:b/>
          <w:sz w:val="20"/>
          <w:szCs w:val="20"/>
          <w:lang w:val="es-ES"/>
        </w:rPr>
      </w:pPr>
      <w:r>
        <w:rPr>
          <w:rFonts w:ascii="Book Antiqua" w:hAnsi="Book Antiqua"/>
          <w:b/>
          <w:sz w:val="20"/>
          <w:szCs w:val="20"/>
          <w:lang w:val="es-ES"/>
        </w:rPr>
        <w:t>Resolución General CNV 806/2019</w:t>
      </w:r>
    </w:p>
    <w:p w:rsidR="00151FB3" w:rsidRDefault="00151FB3" w:rsidP="00151FB3">
      <w:pPr>
        <w:widowControl w:val="0"/>
        <w:spacing w:line="276" w:lineRule="auto"/>
        <w:ind w:firstLine="0"/>
        <w:rPr>
          <w:rFonts w:ascii="Book Antiqua" w:hAnsi="Book Antiqua" w:cs="Gill Sans Light"/>
          <w:sz w:val="20"/>
          <w:szCs w:val="20"/>
        </w:rPr>
      </w:pPr>
    </w:p>
    <w:p w:rsidR="00151FB3" w:rsidRPr="003342B5" w:rsidRDefault="00151FB3" w:rsidP="00151FB3">
      <w:pPr>
        <w:widowControl w:val="0"/>
        <w:spacing w:line="276" w:lineRule="auto"/>
        <w:ind w:firstLine="708"/>
        <w:rPr>
          <w:rFonts w:ascii="Book Antiqua" w:eastAsia="Times New Roman" w:hAnsi="Book Antiqua" w:cs="Arial"/>
          <w:color w:val="222222"/>
          <w:sz w:val="20"/>
          <w:szCs w:val="20"/>
          <w:lang w:val="es-AR" w:eastAsia="es-AR"/>
        </w:rPr>
      </w:pPr>
      <w:r w:rsidRPr="008B5E88">
        <w:rPr>
          <w:rFonts w:ascii="Book Antiqua" w:hAnsi="Book Antiqua" w:cs="Gill Sans Light"/>
          <w:b/>
          <w:bCs/>
          <w:sz w:val="20"/>
          <w:szCs w:val="20"/>
        </w:rPr>
        <w:t xml:space="preserve">BNP PARIBAS ASSET MANAGEMENT ARGENTINA S.A. SOCIEDAD GERENTE DE FONDOS COMUNES DE INVERSIÓN </w:t>
      </w:r>
      <w:r w:rsidRPr="003342B5">
        <w:rPr>
          <w:rFonts w:ascii="Book Antiqua" w:hAnsi="Book Antiqua" w:cs="Gill Sans Light"/>
          <w:iCs/>
          <w:sz w:val="20"/>
          <w:szCs w:val="20"/>
        </w:rPr>
        <w:t>(la “Sociedad”)</w:t>
      </w:r>
      <w:r w:rsidRPr="003342B5">
        <w:rPr>
          <w:rFonts w:ascii="Book Antiqua" w:hAnsi="Book Antiqua" w:cs="Gill Sans Light"/>
          <w:sz w:val="20"/>
          <w:szCs w:val="20"/>
        </w:rPr>
        <w:t xml:space="preserve">, </w:t>
      </w:r>
      <w:r>
        <w:rPr>
          <w:rFonts w:ascii="Book Antiqua" w:hAnsi="Book Antiqua" w:cs="Gill Sans Light"/>
          <w:sz w:val="20"/>
          <w:szCs w:val="20"/>
        </w:rPr>
        <w:t>comunica al público inversor</w:t>
      </w:r>
      <w:r w:rsidRPr="003342B5">
        <w:rPr>
          <w:rFonts w:ascii="Book Antiqua" w:hAnsi="Book Antiqua" w:cs="Gill Sans Light"/>
          <w:sz w:val="20"/>
          <w:szCs w:val="20"/>
        </w:rPr>
        <w:t xml:space="preserve"> que, </w:t>
      </w:r>
      <w:r w:rsidRPr="003342B5">
        <w:rPr>
          <w:rFonts w:ascii="Book Antiqua" w:eastAsia="Times New Roman" w:hAnsi="Book Antiqua" w:cs="Arial"/>
          <w:color w:val="222222"/>
          <w:sz w:val="20"/>
          <w:szCs w:val="20"/>
          <w:lang w:val="es-AR" w:eastAsia="es-AR"/>
        </w:rPr>
        <w:t>a partir de las medidas adoptadas por el Gobierno Nacional a través del Decreto de Necesidad y Urgencia 596/2019 (el “DNU”) con relación a las letras de corto plazo en pesos y en dólares (LETES, LECAPS, LELINK y LECER, en adelante, las “Letras”) y la Resolución General 806/2019 de la Comisión Nacional de Valores (la “Resolución”)</w:t>
      </w:r>
      <w:r>
        <w:rPr>
          <w:rFonts w:ascii="Book Antiqua" w:eastAsia="Times New Roman" w:hAnsi="Book Antiqua" w:cs="Arial"/>
          <w:color w:val="222222"/>
          <w:sz w:val="20"/>
          <w:szCs w:val="20"/>
          <w:lang w:val="es-AR" w:eastAsia="es-AR"/>
        </w:rPr>
        <w:t>, mediante</w:t>
      </w:r>
      <w:r w:rsidRPr="003342B5">
        <w:rPr>
          <w:rFonts w:ascii="Book Antiqua" w:eastAsia="Times New Roman" w:hAnsi="Book Antiqua" w:cs="Arial"/>
          <w:color w:val="222222"/>
          <w:sz w:val="20"/>
          <w:szCs w:val="20"/>
          <w:lang w:val="es-AR" w:eastAsia="es-AR"/>
        </w:rPr>
        <w:t xml:space="preserve"> Acta de Directorio N° </w:t>
      </w:r>
      <w:r>
        <w:rPr>
          <w:rFonts w:ascii="Book Antiqua" w:eastAsia="Times New Roman" w:hAnsi="Book Antiqua" w:cs="Arial"/>
          <w:color w:val="222222"/>
          <w:sz w:val="20"/>
          <w:szCs w:val="20"/>
          <w:lang w:val="es-AR" w:eastAsia="es-AR"/>
        </w:rPr>
        <w:t>490</w:t>
      </w:r>
      <w:r w:rsidRPr="003342B5">
        <w:rPr>
          <w:rFonts w:ascii="Book Antiqua" w:eastAsia="Times New Roman" w:hAnsi="Book Antiqua" w:cs="Arial"/>
          <w:color w:val="222222"/>
          <w:sz w:val="20"/>
          <w:szCs w:val="20"/>
          <w:lang w:val="es-AR" w:eastAsia="es-AR"/>
        </w:rPr>
        <w:t xml:space="preserve"> de fecha </w:t>
      </w:r>
      <w:r>
        <w:rPr>
          <w:rFonts w:ascii="Book Antiqua" w:eastAsia="Times New Roman" w:hAnsi="Book Antiqua" w:cs="Arial"/>
          <w:color w:val="222222"/>
          <w:sz w:val="20"/>
          <w:szCs w:val="20"/>
          <w:lang w:val="es-AR" w:eastAsia="es-AR"/>
        </w:rPr>
        <w:t>16 de septiembre del corriente</w:t>
      </w:r>
      <w:r w:rsidRPr="003342B5">
        <w:rPr>
          <w:rFonts w:ascii="Book Antiqua" w:eastAsia="Times New Roman" w:hAnsi="Book Antiqua" w:cs="Arial"/>
          <w:color w:val="222222"/>
          <w:sz w:val="20"/>
          <w:szCs w:val="20"/>
          <w:lang w:val="es-AR" w:eastAsia="es-AR"/>
        </w:rPr>
        <w:t xml:space="preserve">, publicada en la Autopista de la Información Financiera de la Comisión Nacional de Valores, </w:t>
      </w:r>
      <w:r>
        <w:rPr>
          <w:rFonts w:ascii="Book Antiqua" w:eastAsia="Times New Roman" w:hAnsi="Book Antiqua" w:cs="Arial"/>
          <w:color w:val="222222"/>
          <w:sz w:val="20"/>
          <w:szCs w:val="20"/>
          <w:lang w:val="es-AR" w:eastAsia="es-AR"/>
        </w:rPr>
        <w:t xml:space="preserve">y complementariamente a lo resuelto mediante Acta de Directorio Nº 489 de fecha 05 de septiembre de 2019, se resolvió aprobar, respecto del fondo común de inversión </w:t>
      </w:r>
      <w:r w:rsidRPr="009C241A">
        <w:rPr>
          <w:rFonts w:ascii="Book Antiqua" w:eastAsia="Times New Roman" w:hAnsi="Book Antiqua" w:cs="Arial"/>
          <w:color w:val="222222"/>
          <w:sz w:val="20"/>
          <w:szCs w:val="20"/>
          <w:lang w:val="es-AR" w:eastAsia="es-AR"/>
        </w:rPr>
        <w:t>“</w:t>
      </w:r>
      <w:r w:rsidRPr="00BC2E85">
        <w:rPr>
          <w:rFonts w:ascii="Book Antiqua" w:eastAsia="Times New Roman" w:hAnsi="Book Antiqua" w:cs="Arial"/>
          <w:color w:val="222222"/>
          <w:sz w:val="20"/>
          <w:szCs w:val="20"/>
          <w:lang w:val="es-AR" w:eastAsia="es-AR"/>
        </w:rPr>
        <w:t>OPTIMUM RENTA FIJA DOLARES FCI</w:t>
      </w:r>
      <w:r w:rsidRPr="009C241A">
        <w:rPr>
          <w:rFonts w:ascii="Book Antiqua" w:eastAsia="Times New Roman" w:hAnsi="Book Antiqua" w:cs="Arial"/>
          <w:color w:val="222222"/>
          <w:sz w:val="20"/>
          <w:szCs w:val="20"/>
          <w:lang w:val="es-AR" w:eastAsia="es-AR"/>
        </w:rPr>
        <w:t>”</w:t>
      </w:r>
      <w:r>
        <w:rPr>
          <w:rFonts w:ascii="Book Antiqua" w:eastAsia="Times New Roman" w:hAnsi="Book Antiqua" w:cs="Arial"/>
          <w:color w:val="222222"/>
          <w:sz w:val="20"/>
          <w:szCs w:val="20"/>
          <w:lang w:val="es-AR" w:eastAsia="es-AR"/>
        </w:rPr>
        <w:t xml:space="preserve"> (el “Fondo Alcanzado”)</w:t>
      </w:r>
      <w:r w:rsidRPr="009C241A">
        <w:rPr>
          <w:rFonts w:ascii="Book Antiqua" w:eastAsia="Times New Roman" w:hAnsi="Book Antiqua" w:cs="Arial"/>
          <w:color w:val="222222"/>
          <w:sz w:val="20"/>
          <w:szCs w:val="20"/>
          <w:lang w:val="es-AR" w:eastAsia="es-AR"/>
        </w:rPr>
        <w:t xml:space="preserve"> </w:t>
      </w:r>
      <w:r>
        <w:rPr>
          <w:rFonts w:ascii="Book Antiqua" w:eastAsia="Times New Roman" w:hAnsi="Book Antiqua" w:cs="Arial"/>
          <w:color w:val="222222"/>
          <w:sz w:val="20"/>
          <w:szCs w:val="20"/>
          <w:lang w:val="es-AR" w:eastAsia="es-AR"/>
        </w:rPr>
        <w:t>un procedimiento</w:t>
      </w:r>
      <w:r w:rsidR="00933AD4">
        <w:rPr>
          <w:rFonts w:ascii="Book Antiqua" w:eastAsia="Times New Roman" w:hAnsi="Book Antiqua" w:cs="Arial"/>
          <w:color w:val="222222"/>
          <w:sz w:val="20"/>
          <w:szCs w:val="20"/>
          <w:lang w:val="es-AR" w:eastAsia="es-AR"/>
        </w:rPr>
        <w:t>,</w:t>
      </w:r>
      <w:r>
        <w:rPr>
          <w:rFonts w:ascii="Book Antiqua" w:eastAsia="Times New Roman" w:hAnsi="Book Antiqua" w:cs="Arial"/>
          <w:color w:val="222222"/>
          <w:sz w:val="20"/>
          <w:szCs w:val="20"/>
          <w:lang w:val="es-AR" w:eastAsia="es-AR"/>
        </w:rPr>
        <w:t xml:space="preserve"> con el objetivo </w:t>
      </w:r>
      <w:r w:rsidR="00933AD4">
        <w:rPr>
          <w:rFonts w:ascii="Book Antiqua" w:eastAsia="Times New Roman" w:hAnsi="Book Antiqua" w:cs="Arial"/>
          <w:color w:val="222222"/>
          <w:sz w:val="20"/>
          <w:szCs w:val="20"/>
          <w:lang w:val="es-AR" w:eastAsia="es-AR"/>
        </w:rPr>
        <w:t>proceder a la separación del</w:t>
      </w:r>
      <w:r>
        <w:rPr>
          <w:rFonts w:ascii="Book Antiqua" w:hAnsi="Book Antiqua"/>
          <w:sz w:val="20"/>
          <w:szCs w:val="20"/>
        </w:rPr>
        <w:t xml:space="preserve"> </w:t>
      </w:r>
      <w:r w:rsidR="00933AD4">
        <w:rPr>
          <w:rFonts w:ascii="Book Antiqua" w:hAnsi="Book Antiqua"/>
          <w:sz w:val="20"/>
          <w:szCs w:val="20"/>
        </w:rPr>
        <w:t xml:space="preserve">patrimonio del mismo en virtud de contar al 28/08/2019 con Letras alcanzadas por el DNU </w:t>
      </w:r>
      <w:r>
        <w:rPr>
          <w:rFonts w:ascii="Book Antiqua" w:hAnsi="Book Antiqua"/>
          <w:sz w:val="20"/>
          <w:szCs w:val="20"/>
        </w:rPr>
        <w:t>(el “Procedimiento”)</w:t>
      </w:r>
      <w:r>
        <w:rPr>
          <w:rFonts w:ascii="Book Antiqua" w:eastAsia="Times New Roman" w:hAnsi="Book Antiqua" w:cs="Arial"/>
          <w:color w:val="222222"/>
          <w:sz w:val="20"/>
          <w:szCs w:val="20"/>
          <w:lang w:val="es-AR" w:eastAsia="es-AR"/>
        </w:rPr>
        <w:t>.</w:t>
      </w:r>
    </w:p>
    <w:p w:rsidR="00151FB3" w:rsidRDefault="00151FB3" w:rsidP="00933AD4">
      <w:pPr>
        <w:widowControl w:val="0"/>
        <w:spacing w:line="276" w:lineRule="auto"/>
        <w:ind w:firstLine="0"/>
        <w:rPr>
          <w:rFonts w:ascii="Book Antiqua" w:eastAsia="Times New Roman" w:hAnsi="Book Antiqua" w:cs="Arial"/>
          <w:color w:val="222222"/>
          <w:sz w:val="20"/>
          <w:szCs w:val="20"/>
          <w:lang w:val="es-AR" w:eastAsia="es-AR"/>
        </w:rPr>
      </w:pPr>
    </w:p>
    <w:p w:rsidR="00151FB3" w:rsidRDefault="00151FB3" w:rsidP="00C72B29">
      <w:pPr>
        <w:widowControl w:val="0"/>
        <w:spacing w:line="276" w:lineRule="auto"/>
        <w:ind w:firstLine="708"/>
        <w:rPr>
          <w:rFonts w:ascii="Book Antiqua" w:eastAsia="Times New Roman" w:hAnsi="Book Antiqua" w:cs="Arial"/>
          <w:color w:val="222222"/>
          <w:sz w:val="20"/>
          <w:szCs w:val="20"/>
          <w:lang w:val="es-AR" w:eastAsia="es-AR"/>
        </w:rPr>
      </w:pPr>
      <w:r>
        <w:rPr>
          <w:rFonts w:ascii="Book Antiqua" w:eastAsia="Times New Roman" w:hAnsi="Book Antiqua" w:cs="Arial"/>
          <w:color w:val="222222"/>
          <w:sz w:val="20"/>
          <w:szCs w:val="20"/>
          <w:lang w:val="es-AR" w:eastAsia="es-AR"/>
        </w:rPr>
        <w:t xml:space="preserve">A tales efectos, </w:t>
      </w:r>
      <w:r w:rsidR="00C72B29">
        <w:rPr>
          <w:rFonts w:ascii="Book Antiqua" w:eastAsia="Times New Roman" w:hAnsi="Book Antiqua" w:cs="Arial"/>
          <w:color w:val="222222"/>
          <w:sz w:val="20"/>
          <w:szCs w:val="20"/>
          <w:lang w:val="es-AR" w:eastAsia="es-AR"/>
        </w:rPr>
        <w:t xml:space="preserve">el </w:t>
      </w:r>
      <w:r>
        <w:rPr>
          <w:rFonts w:ascii="Book Antiqua" w:eastAsia="Times New Roman" w:hAnsi="Book Antiqua" w:cs="Arial"/>
          <w:color w:val="222222"/>
          <w:sz w:val="20"/>
          <w:szCs w:val="20"/>
          <w:lang w:val="es-AR" w:eastAsia="es-AR"/>
        </w:rPr>
        <w:t>Fondo Alcanzado, en el marco de la Resolución,</w:t>
      </w:r>
      <w:r w:rsidRPr="003342B5">
        <w:rPr>
          <w:rFonts w:ascii="Book Antiqua" w:eastAsia="Times New Roman" w:hAnsi="Book Antiqua" w:cs="Arial"/>
          <w:color w:val="222222"/>
          <w:sz w:val="20"/>
          <w:szCs w:val="20"/>
          <w:lang w:val="es-AR" w:eastAsia="es-AR"/>
        </w:rPr>
        <w:t xml:space="preserve"> se </w:t>
      </w:r>
      <w:r w:rsidR="00C72B29">
        <w:rPr>
          <w:rFonts w:ascii="Book Antiqua" w:eastAsia="Times New Roman" w:hAnsi="Book Antiqua" w:cs="Arial"/>
          <w:color w:val="222222"/>
          <w:sz w:val="20"/>
          <w:szCs w:val="20"/>
          <w:lang w:val="es-AR" w:eastAsia="es-AR"/>
        </w:rPr>
        <w:t xml:space="preserve">ha </w:t>
      </w:r>
      <w:r w:rsidRPr="003342B5">
        <w:rPr>
          <w:rFonts w:ascii="Book Antiqua" w:eastAsia="Times New Roman" w:hAnsi="Book Antiqua" w:cs="Arial"/>
          <w:color w:val="222222"/>
          <w:sz w:val="20"/>
          <w:szCs w:val="20"/>
          <w:lang w:val="es-AR" w:eastAsia="es-AR"/>
        </w:rPr>
        <w:t>divi</w:t>
      </w:r>
      <w:r>
        <w:rPr>
          <w:rFonts w:ascii="Book Antiqua" w:eastAsia="Times New Roman" w:hAnsi="Book Antiqua" w:cs="Arial"/>
          <w:color w:val="222222"/>
          <w:sz w:val="20"/>
          <w:szCs w:val="20"/>
          <w:lang w:val="es-AR" w:eastAsia="es-AR"/>
        </w:rPr>
        <w:t>d</w:t>
      </w:r>
      <w:r w:rsidR="00C72B29">
        <w:rPr>
          <w:rFonts w:ascii="Book Antiqua" w:eastAsia="Times New Roman" w:hAnsi="Book Antiqua" w:cs="Arial"/>
          <w:color w:val="222222"/>
          <w:sz w:val="20"/>
          <w:szCs w:val="20"/>
          <w:lang w:val="es-AR" w:eastAsia="es-AR"/>
        </w:rPr>
        <w:t>ido</w:t>
      </w:r>
      <w:r w:rsidRPr="003342B5">
        <w:rPr>
          <w:rFonts w:ascii="Book Antiqua" w:eastAsia="Times New Roman" w:hAnsi="Book Antiqua" w:cs="Arial"/>
          <w:color w:val="222222"/>
          <w:sz w:val="20"/>
          <w:szCs w:val="20"/>
          <w:lang w:val="es-AR" w:eastAsia="es-AR"/>
        </w:rPr>
        <w:t xml:space="preserve"> en el sistema de gestión en</w:t>
      </w:r>
      <w:r>
        <w:rPr>
          <w:rFonts w:ascii="Book Antiqua" w:eastAsia="Times New Roman" w:hAnsi="Book Antiqua" w:cs="Arial"/>
          <w:color w:val="222222"/>
          <w:sz w:val="20"/>
          <w:szCs w:val="20"/>
          <w:lang w:val="es-AR" w:eastAsia="es-AR"/>
        </w:rPr>
        <w:t xml:space="preserve"> dos </w:t>
      </w:r>
      <w:r w:rsidRPr="003342B5">
        <w:rPr>
          <w:rFonts w:ascii="Book Antiqua" w:eastAsia="Times New Roman" w:hAnsi="Book Antiqua" w:cs="Arial"/>
          <w:color w:val="222222"/>
          <w:sz w:val="20"/>
          <w:szCs w:val="20"/>
          <w:lang w:val="es-AR" w:eastAsia="es-AR"/>
        </w:rPr>
        <w:t>compartimientos separados, según el siguiente detalle:</w:t>
      </w:r>
    </w:p>
    <w:p w:rsidR="00151FB3" w:rsidRPr="0031716A" w:rsidRDefault="00151FB3" w:rsidP="00151FB3">
      <w:pPr>
        <w:widowControl w:val="0"/>
        <w:spacing w:line="276" w:lineRule="auto"/>
        <w:ind w:firstLine="0"/>
        <w:rPr>
          <w:rFonts w:ascii="Book Antiqua" w:eastAsia="Times New Roman" w:hAnsi="Book Antiqua" w:cs="Arial"/>
          <w:b/>
          <w:bCs/>
          <w:color w:val="222222"/>
          <w:sz w:val="20"/>
          <w:szCs w:val="20"/>
          <w:lang w:val="es-AR" w:eastAsia="es-AR"/>
        </w:rPr>
      </w:pPr>
      <w:r w:rsidRPr="0031716A">
        <w:rPr>
          <w:rFonts w:ascii="Book Antiqua" w:eastAsia="Times New Roman" w:hAnsi="Book Antiqua" w:cs="Arial"/>
          <w:b/>
          <w:bCs/>
          <w:color w:val="222222"/>
          <w:sz w:val="20"/>
          <w:szCs w:val="20"/>
          <w:lang w:val="es-AR" w:eastAsia="es-AR"/>
        </w:rPr>
        <w:t>a.</w:t>
      </w:r>
      <w:r>
        <w:rPr>
          <w:rFonts w:ascii="Book Antiqua" w:eastAsia="Times New Roman" w:hAnsi="Book Antiqua" w:cs="Arial"/>
          <w:b/>
          <w:bCs/>
          <w:color w:val="222222"/>
          <w:sz w:val="20"/>
          <w:szCs w:val="20"/>
          <w:lang w:val="es-AR" w:eastAsia="es-AR"/>
        </w:rPr>
        <w:t xml:space="preserve"> </w:t>
      </w:r>
      <w:r w:rsidRPr="0031716A">
        <w:rPr>
          <w:rFonts w:ascii="Book Antiqua" w:eastAsia="Times New Roman" w:hAnsi="Book Antiqua" w:cs="Arial"/>
          <w:b/>
          <w:bCs/>
          <w:color w:val="222222"/>
          <w:sz w:val="20"/>
          <w:szCs w:val="20"/>
          <w:lang w:val="es-AR" w:eastAsia="es-AR"/>
        </w:rPr>
        <w:t xml:space="preserve">Fondo Original: </w:t>
      </w:r>
      <w:r w:rsidRPr="0031716A">
        <w:rPr>
          <w:rFonts w:ascii="Book Antiqua" w:eastAsia="Times New Roman" w:hAnsi="Book Antiqua" w:cs="Arial"/>
          <w:color w:val="222222"/>
          <w:sz w:val="20"/>
          <w:szCs w:val="20"/>
          <w:lang w:val="es-AR" w:eastAsia="es-AR"/>
        </w:rPr>
        <w:t>en el cual se mantendrán todos los activos no alcanzados por el DNU (esto es, se excluye la totalidad de las Letras, hayan sido objeto o no de reperfilamiento), manteniendo la posición de cuotapartes en forma proporcional a dichos activos, de todos los cuotapartistas con posición mayor a 0 (cero), al 28/08/2019. En este caso, se mantienen las características originales del Fondo Alcanzado.</w:t>
      </w:r>
    </w:p>
    <w:p w:rsidR="00151FB3" w:rsidRDefault="00151FB3" w:rsidP="00151FB3">
      <w:pPr>
        <w:widowControl w:val="0"/>
        <w:spacing w:line="276" w:lineRule="auto"/>
        <w:ind w:firstLine="0"/>
        <w:rPr>
          <w:rFonts w:ascii="Book Antiqua" w:eastAsia="Times New Roman" w:hAnsi="Book Antiqua" w:cs="Arial"/>
          <w:color w:val="222222"/>
          <w:sz w:val="20"/>
          <w:szCs w:val="20"/>
          <w:lang w:val="es-AR" w:eastAsia="es-AR"/>
        </w:rPr>
      </w:pPr>
      <w:r w:rsidRPr="0031716A">
        <w:rPr>
          <w:rFonts w:ascii="Book Antiqua" w:eastAsia="Times New Roman" w:hAnsi="Book Antiqua" w:cs="Arial"/>
          <w:b/>
          <w:bCs/>
          <w:color w:val="222222"/>
          <w:sz w:val="20"/>
          <w:szCs w:val="20"/>
          <w:lang w:val="es-AR" w:eastAsia="es-AR"/>
        </w:rPr>
        <w:t>b.</w:t>
      </w:r>
      <w:r>
        <w:rPr>
          <w:rFonts w:ascii="Book Antiqua" w:eastAsia="Times New Roman" w:hAnsi="Book Antiqua" w:cs="Arial"/>
          <w:b/>
          <w:bCs/>
          <w:color w:val="222222"/>
          <w:sz w:val="20"/>
          <w:szCs w:val="20"/>
          <w:lang w:val="es-AR" w:eastAsia="es-AR"/>
        </w:rPr>
        <w:t xml:space="preserve"> </w:t>
      </w:r>
      <w:r w:rsidRPr="0031716A">
        <w:rPr>
          <w:rFonts w:ascii="Book Antiqua" w:eastAsia="Times New Roman" w:hAnsi="Book Antiqua" w:cs="Arial"/>
          <w:b/>
          <w:bCs/>
          <w:color w:val="222222"/>
          <w:sz w:val="20"/>
          <w:szCs w:val="20"/>
          <w:lang w:val="es-AR" w:eastAsia="es-AR"/>
        </w:rPr>
        <w:t xml:space="preserve">Subfondo 1: </w:t>
      </w:r>
      <w:r w:rsidRPr="0031716A">
        <w:rPr>
          <w:rFonts w:ascii="Book Antiqua" w:eastAsia="Times New Roman" w:hAnsi="Book Antiqua" w:cs="Arial"/>
          <w:color w:val="222222"/>
          <w:sz w:val="20"/>
          <w:szCs w:val="20"/>
          <w:lang w:val="es-AR" w:eastAsia="es-AR"/>
        </w:rPr>
        <w:t>integrado por el patrimonio que surge de la proporción de activos alcanzados por el DNU del Fondo Original, que representan la posición en cuotapartes de todos los cuotapartistas (esto es, las Letras objeto de reperfilamiento).</w:t>
      </w:r>
    </w:p>
    <w:p w:rsidR="00151FB3"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p>
    <w:p w:rsidR="00151FB3"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 xml:space="preserve">Con posterioridad al </w:t>
      </w:r>
      <w:r>
        <w:rPr>
          <w:rFonts w:ascii="Book Antiqua" w:eastAsia="Times New Roman" w:hAnsi="Book Antiqua" w:cs="Arial"/>
          <w:color w:val="222222"/>
          <w:sz w:val="20"/>
          <w:szCs w:val="20"/>
          <w:lang w:val="es-AR" w:eastAsia="es-AR"/>
        </w:rPr>
        <w:t>17</w:t>
      </w:r>
      <w:r w:rsidRPr="00E0004A">
        <w:rPr>
          <w:rFonts w:ascii="Book Antiqua" w:eastAsia="Times New Roman" w:hAnsi="Book Antiqua" w:cs="Arial"/>
          <w:color w:val="222222"/>
          <w:sz w:val="20"/>
          <w:szCs w:val="20"/>
          <w:lang w:val="es-AR" w:eastAsia="es-AR"/>
        </w:rPr>
        <w:t xml:space="preserve"> de </w:t>
      </w:r>
      <w:r>
        <w:rPr>
          <w:rFonts w:ascii="Book Antiqua" w:eastAsia="Times New Roman" w:hAnsi="Book Antiqua" w:cs="Arial"/>
          <w:color w:val="222222"/>
          <w:sz w:val="20"/>
          <w:szCs w:val="20"/>
          <w:lang w:val="es-AR" w:eastAsia="es-AR"/>
        </w:rPr>
        <w:t>septiembre del corriente</w:t>
      </w:r>
      <w:r w:rsidRPr="00E0004A">
        <w:rPr>
          <w:rFonts w:ascii="Book Antiqua" w:eastAsia="Times New Roman" w:hAnsi="Book Antiqua" w:cs="Arial"/>
          <w:color w:val="222222"/>
          <w:sz w:val="20"/>
          <w:szCs w:val="20"/>
          <w:lang w:val="es-AR" w:eastAsia="es-AR"/>
        </w:rPr>
        <w:t>, el F</w:t>
      </w:r>
      <w:r>
        <w:rPr>
          <w:rFonts w:ascii="Book Antiqua" w:eastAsia="Times New Roman" w:hAnsi="Book Antiqua" w:cs="Arial"/>
          <w:color w:val="222222"/>
          <w:sz w:val="20"/>
          <w:szCs w:val="20"/>
          <w:lang w:val="es-AR" w:eastAsia="es-AR"/>
        </w:rPr>
        <w:t xml:space="preserve">ondo </w:t>
      </w:r>
      <w:r w:rsidRPr="00E0004A">
        <w:rPr>
          <w:rFonts w:ascii="Book Antiqua" w:eastAsia="Times New Roman" w:hAnsi="Book Antiqua" w:cs="Arial"/>
          <w:color w:val="222222"/>
          <w:sz w:val="20"/>
          <w:szCs w:val="20"/>
          <w:lang w:val="es-AR" w:eastAsia="es-AR"/>
        </w:rPr>
        <w:t xml:space="preserve">Original y </w:t>
      </w:r>
      <w:r>
        <w:rPr>
          <w:rFonts w:ascii="Book Antiqua" w:eastAsia="Times New Roman" w:hAnsi="Book Antiqua" w:cs="Arial"/>
          <w:color w:val="222222"/>
          <w:sz w:val="20"/>
          <w:szCs w:val="20"/>
          <w:lang w:val="es-AR" w:eastAsia="es-AR"/>
        </w:rPr>
        <w:t>el Subfondo</w:t>
      </w:r>
      <w:r w:rsidRPr="00E0004A">
        <w:rPr>
          <w:rFonts w:ascii="Book Antiqua" w:eastAsia="Times New Roman" w:hAnsi="Book Antiqua" w:cs="Arial"/>
          <w:color w:val="222222"/>
          <w:sz w:val="20"/>
          <w:szCs w:val="20"/>
          <w:lang w:val="es-AR" w:eastAsia="es-AR"/>
        </w:rPr>
        <w:t xml:space="preserve"> tendrán valores de cuotapartes diferentes, dependiendo del valor de sus activos.</w:t>
      </w:r>
    </w:p>
    <w:p w:rsidR="00151FB3" w:rsidRDefault="00151FB3" w:rsidP="00151FB3">
      <w:pPr>
        <w:widowControl w:val="0"/>
        <w:spacing w:line="276" w:lineRule="auto"/>
        <w:ind w:firstLine="0"/>
        <w:rPr>
          <w:rFonts w:ascii="Book Antiqua" w:eastAsia="Times New Roman" w:hAnsi="Book Antiqua" w:cs="Arial"/>
          <w:color w:val="222222"/>
          <w:sz w:val="20"/>
          <w:szCs w:val="20"/>
          <w:lang w:val="es-AR" w:eastAsia="es-AR"/>
        </w:rPr>
      </w:pPr>
    </w:p>
    <w:p w:rsidR="00151FB3" w:rsidRPr="00E0004A"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En materia de suscripciones y rescates:</w:t>
      </w:r>
    </w:p>
    <w:p w:rsidR="00151FB3" w:rsidRPr="0031716A"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31716A">
        <w:rPr>
          <w:rFonts w:ascii="Book Antiqua" w:eastAsia="Times New Roman" w:hAnsi="Book Antiqua" w:cs="Arial"/>
          <w:color w:val="222222"/>
          <w:sz w:val="20"/>
          <w:szCs w:val="20"/>
          <w:lang w:val="es-AR" w:eastAsia="es-AR"/>
        </w:rPr>
        <w:t>- Dada su naturaleza y características, el Subfondo no recibirá suscripciones. Todas las suscripciones que se reciban darán lugar a la correspondiente emisión de cuotapartes en el correspondiente Fondo Original.</w:t>
      </w:r>
    </w:p>
    <w:p w:rsidR="00151FB3" w:rsidRPr="0031716A"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31716A">
        <w:rPr>
          <w:rFonts w:ascii="Book Antiqua" w:eastAsia="Times New Roman" w:hAnsi="Book Antiqua" w:cs="Arial"/>
          <w:color w:val="222222"/>
          <w:sz w:val="20"/>
          <w:szCs w:val="20"/>
          <w:lang w:val="es-AR" w:eastAsia="es-AR"/>
        </w:rPr>
        <w:t>- En todos los casos, los cuotapartistas podrán ejercer su derecho de rescate conforme las previsiones de los reglamentos de gestión y normativa vigentes, con las particularidades que se exponen más abajo.</w:t>
      </w:r>
    </w:p>
    <w:p w:rsidR="00151FB3" w:rsidRPr="0031716A"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31716A">
        <w:rPr>
          <w:rFonts w:ascii="Book Antiqua" w:eastAsia="Times New Roman" w:hAnsi="Book Antiqua" w:cs="Arial"/>
          <w:color w:val="222222"/>
          <w:sz w:val="20"/>
          <w:szCs w:val="20"/>
          <w:lang w:val="es-AR" w:eastAsia="es-AR"/>
        </w:rPr>
        <w:t>- Tanto el Subfondo 1 como el FCI Original podrán ser objeto de rescate de manera individual. Sin perjuicio de ello: i) en el Subfondo 1, los rescates se podrán pagar en especie conforme la Resolución (para quienes tengan cuenta títulos o comitente en un intermediario autorizado, cuestión que será responsabilidad de cada cuotapartista), o en efectivo, según la evaluación que realice la Sociedad.</w:t>
      </w:r>
    </w:p>
    <w:p w:rsidR="005C4334" w:rsidRDefault="005C4334">
      <w:pPr>
        <w:spacing w:line="240" w:lineRule="auto"/>
        <w:ind w:firstLine="0"/>
        <w:contextualSpacing w:val="0"/>
        <w:jc w:val="left"/>
        <w:rPr>
          <w:rFonts w:ascii="Book Antiqua" w:eastAsia="Times New Roman" w:hAnsi="Book Antiqua" w:cs="Arial"/>
          <w:color w:val="222222"/>
          <w:sz w:val="20"/>
          <w:szCs w:val="20"/>
          <w:lang w:val="es-AR" w:eastAsia="es-AR"/>
        </w:rPr>
      </w:pPr>
      <w:r>
        <w:rPr>
          <w:rFonts w:ascii="Book Antiqua" w:eastAsia="Times New Roman" w:hAnsi="Book Antiqua" w:cs="Arial"/>
          <w:color w:val="222222"/>
          <w:sz w:val="20"/>
          <w:szCs w:val="20"/>
          <w:lang w:val="es-AR" w:eastAsia="es-AR"/>
        </w:rPr>
        <w:br w:type="page"/>
      </w:r>
    </w:p>
    <w:p w:rsidR="00151FB3"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p>
    <w:p w:rsidR="00151FB3"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31716A">
        <w:rPr>
          <w:rFonts w:ascii="Book Antiqua" w:eastAsia="Times New Roman" w:hAnsi="Book Antiqua" w:cs="Arial"/>
          <w:color w:val="222222"/>
          <w:sz w:val="20"/>
          <w:szCs w:val="20"/>
          <w:lang w:val="es-AR" w:eastAsia="es-AR"/>
        </w:rPr>
        <w:t>Cuando existiera liquidez en el Subfondo 1 producto del cobro de las Letras se transferirá al Fondo Original acrecentando la cantidad de cuotapartes de acuerdo al monto invertido.</w:t>
      </w:r>
    </w:p>
    <w:p w:rsidR="00151FB3"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p>
    <w:p w:rsidR="00151FB3"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r w:rsidRPr="00E03A8A">
        <w:rPr>
          <w:rFonts w:ascii="Book Antiqua" w:eastAsia="Times New Roman" w:hAnsi="Book Antiqua" w:cs="Arial"/>
          <w:color w:val="222222"/>
          <w:sz w:val="20"/>
          <w:szCs w:val="20"/>
          <w:lang w:val="es-AR" w:eastAsia="es-AR"/>
        </w:rPr>
        <w:t xml:space="preserve">En tanto el </w:t>
      </w:r>
      <w:r>
        <w:rPr>
          <w:rFonts w:ascii="Book Antiqua" w:eastAsia="Times New Roman" w:hAnsi="Book Antiqua" w:cs="Arial"/>
          <w:color w:val="222222"/>
          <w:sz w:val="20"/>
          <w:szCs w:val="20"/>
          <w:lang w:val="es-AR" w:eastAsia="es-AR"/>
        </w:rPr>
        <w:t xml:space="preserve">DNU </w:t>
      </w:r>
      <w:r w:rsidRPr="00E03A8A">
        <w:rPr>
          <w:rFonts w:ascii="Book Antiqua" w:eastAsia="Times New Roman" w:hAnsi="Book Antiqua" w:cs="Arial"/>
          <w:color w:val="222222"/>
          <w:sz w:val="20"/>
          <w:szCs w:val="20"/>
          <w:lang w:val="es-AR" w:eastAsia="es-AR"/>
        </w:rPr>
        <w:t>importa la concreción de un riesgo sistémico y la situación en los mercados financieros es particularmente volátil, se recomienda especialmente a los cuotapartistas especial consideración de lo indicado, y de la acentuación de los riesgos señalados en los respectivos reglamentos de gestión, para adoptar decisiones de realizar suscripciones o rescates en fondos comunes de inversión.</w:t>
      </w:r>
    </w:p>
    <w:p w:rsidR="00151FB3" w:rsidRPr="00E03A8A" w:rsidRDefault="00151FB3" w:rsidP="00151FB3">
      <w:pPr>
        <w:widowControl w:val="0"/>
        <w:spacing w:line="276" w:lineRule="auto"/>
        <w:ind w:firstLine="567"/>
        <w:rPr>
          <w:rFonts w:ascii="Book Antiqua" w:eastAsia="Times New Roman" w:hAnsi="Book Antiqua" w:cs="Arial"/>
          <w:color w:val="222222"/>
          <w:sz w:val="20"/>
          <w:szCs w:val="20"/>
          <w:lang w:val="es-AR" w:eastAsia="es-AR"/>
        </w:rPr>
      </w:pPr>
    </w:p>
    <w:p w:rsidR="00151FB3" w:rsidRPr="003342B5" w:rsidRDefault="00151FB3" w:rsidP="00151FB3">
      <w:pPr>
        <w:widowControl w:val="0"/>
        <w:spacing w:line="276" w:lineRule="auto"/>
        <w:ind w:firstLine="567"/>
        <w:rPr>
          <w:rFonts w:ascii="Book Antiqua" w:hAnsi="Book Antiqua"/>
          <w:sz w:val="20"/>
          <w:szCs w:val="20"/>
        </w:rPr>
      </w:pPr>
      <w:r w:rsidRPr="00E03A8A">
        <w:rPr>
          <w:rFonts w:ascii="Book Antiqua" w:eastAsia="Times New Roman" w:hAnsi="Book Antiqua" w:cs="Arial"/>
          <w:color w:val="222222"/>
          <w:sz w:val="20"/>
          <w:szCs w:val="20"/>
          <w:lang w:val="es-AR" w:eastAsia="es-AR"/>
        </w:rPr>
        <w:t xml:space="preserve">Sin limitación, se recomienda analizar, en cada caso, los efectos patrimoniales individuales que se sigan de rescates que se realicen antes de los vencimientos previstos de las Letras y considerar que, de acuerdo a la </w:t>
      </w:r>
      <w:r>
        <w:rPr>
          <w:rFonts w:ascii="Book Antiqua" w:eastAsia="Times New Roman" w:hAnsi="Book Antiqua" w:cs="Arial"/>
          <w:color w:val="222222"/>
          <w:sz w:val="20"/>
          <w:szCs w:val="20"/>
          <w:lang w:val="es-AR" w:eastAsia="es-AR"/>
        </w:rPr>
        <w:t>Resolución</w:t>
      </w:r>
      <w:r w:rsidRPr="00E03A8A">
        <w:rPr>
          <w:rFonts w:ascii="Book Antiqua" w:eastAsia="Times New Roman" w:hAnsi="Book Antiqua" w:cs="Arial"/>
          <w:color w:val="222222"/>
          <w:sz w:val="20"/>
          <w:szCs w:val="20"/>
          <w:lang w:val="es-AR" w:eastAsia="es-AR"/>
        </w:rPr>
        <w:t xml:space="preserve"> y cumpliendo con lo allí establecido, la Sociedad puede implementar el pago en especie de los rescates que se realicen.</w:t>
      </w:r>
    </w:p>
    <w:p w:rsidR="00151FB3" w:rsidRDefault="00151FB3" w:rsidP="00151FB3">
      <w:pPr>
        <w:spacing w:line="276" w:lineRule="auto"/>
        <w:ind w:firstLine="567"/>
        <w:rPr>
          <w:rFonts w:ascii="Book Antiqua" w:hAnsi="Book Antiqua" w:cs="Gill Sans Light"/>
          <w:sz w:val="20"/>
          <w:szCs w:val="20"/>
        </w:rPr>
      </w:pPr>
    </w:p>
    <w:p w:rsidR="00151FB3" w:rsidRPr="003342B5" w:rsidRDefault="00151FB3" w:rsidP="00151FB3">
      <w:pPr>
        <w:spacing w:line="276" w:lineRule="auto"/>
        <w:ind w:firstLine="567"/>
        <w:rPr>
          <w:rFonts w:ascii="Book Antiqua" w:hAnsi="Book Antiqua" w:cs="Gill Sans Light"/>
          <w:sz w:val="20"/>
          <w:szCs w:val="20"/>
        </w:rPr>
      </w:pPr>
      <w:r w:rsidRPr="003342B5">
        <w:rPr>
          <w:rFonts w:ascii="Book Antiqua" w:hAnsi="Book Antiqua" w:cs="Gill Sans Light"/>
          <w:sz w:val="20"/>
          <w:szCs w:val="20"/>
        </w:rPr>
        <w:t>Atentamente.</w:t>
      </w:r>
    </w:p>
    <w:p w:rsidR="00151FB3" w:rsidRPr="003342B5" w:rsidRDefault="00151FB3" w:rsidP="00151FB3">
      <w:pPr>
        <w:spacing w:line="276" w:lineRule="auto"/>
        <w:ind w:firstLine="0"/>
        <w:rPr>
          <w:rFonts w:ascii="Book Antiqua" w:hAnsi="Book Antiqua"/>
          <w:sz w:val="20"/>
          <w:szCs w:val="20"/>
        </w:rPr>
      </w:pPr>
    </w:p>
    <w:p w:rsidR="00151FB3" w:rsidRPr="003342B5" w:rsidRDefault="00151FB3" w:rsidP="00151FB3">
      <w:pPr>
        <w:spacing w:line="276" w:lineRule="auto"/>
        <w:ind w:firstLine="0"/>
        <w:rPr>
          <w:rFonts w:ascii="Book Antiqua" w:hAnsi="Book Antiqua"/>
          <w:sz w:val="20"/>
          <w:szCs w:val="20"/>
        </w:rPr>
      </w:pPr>
    </w:p>
    <w:p w:rsidR="00151FB3" w:rsidRPr="002059D3" w:rsidRDefault="00151FB3" w:rsidP="00151FB3">
      <w:pPr>
        <w:spacing w:line="276" w:lineRule="auto"/>
        <w:ind w:left="2410" w:firstLine="0"/>
        <w:rPr>
          <w:rFonts w:ascii="Book Antiqua" w:hAnsi="Book Antiqua"/>
          <w:sz w:val="18"/>
          <w:szCs w:val="18"/>
        </w:rPr>
      </w:pPr>
      <w:r w:rsidRPr="002059D3">
        <w:rPr>
          <w:rFonts w:ascii="Book Antiqua" w:hAnsi="Book Antiqua"/>
          <w:sz w:val="18"/>
          <w:szCs w:val="18"/>
        </w:rPr>
        <w:t>________________________</w:t>
      </w:r>
    </w:p>
    <w:p w:rsidR="00151FB3" w:rsidRPr="002059D3" w:rsidRDefault="00151FB3" w:rsidP="00151FB3">
      <w:pPr>
        <w:widowControl w:val="0"/>
        <w:tabs>
          <w:tab w:val="left" w:pos="6720"/>
        </w:tabs>
        <w:spacing w:line="276" w:lineRule="auto"/>
        <w:ind w:left="2410" w:right="165" w:firstLine="0"/>
        <w:contextualSpacing w:val="0"/>
        <w:rPr>
          <w:rFonts w:ascii="Book Antiqua" w:hAnsi="Book Antiqua" w:cs="Gill Sans Light"/>
          <w:b/>
          <w:sz w:val="18"/>
          <w:szCs w:val="18"/>
          <w:lang w:val="es-ES"/>
        </w:rPr>
      </w:pPr>
      <w:r w:rsidRPr="002059D3">
        <w:rPr>
          <w:rFonts w:ascii="Book Antiqua" w:hAnsi="Book Antiqua"/>
          <w:sz w:val="18"/>
          <w:szCs w:val="18"/>
        </w:rPr>
        <w:t>Por</w:t>
      </w:r>
      <w:r w:rsidRPr="002059D3">
        <w:rPr>
          <w:sz w:val="18"/>
          <w:szCs w:val="18"/>
        </w:rPr>
        <w:t xml:space="preserve"> </w:t>
      </w:r>
      <w:r w:rsidRPr="002059D3">
        <w:rPr>
          <w:rFonts w:ascii="Book Antiqua" w:hAnsi="Book Antiqua" w:cs="Gill Sans Light"/>
          <w:b/>
          <w:bCs/>
          <w:sz w:val="18"/>
          <w:szCs w:val="18"/>
        </w:rPr>
        <w:t>BNP PARIBAS ASSET MANAGEMENT ARGENTINA S.A. SOCIEDAD GERENTE DE FONDOS COMUNES DE INVERSIÓN</w:t>
      </w:r>
    </w:p>
    <w:p w:rsidR="00151FB3" w:rsidRPr="002059D3" w:rsidRDefault="00151FB3" w:rsidP="00151FB3">
      <w:pPr>
        <w:widowControl w:val="0"/>
        <w:spacing w:line="276" w:lineRule="auto"/>
        <w:ind w:left="2410" w:right="1268" w:firstLine="0"/>
        <w:contextualSpacing w:val="0"/>
        <w:outlineLvl w:val="0"/>
        <w:rPr>
          <w:rFonts w:ascii="Book Antiqua" w:hAnsi="Book Antiqua"/>
          <w:sz w:val="18"/>
          <w:szCs w:val="18"/>
        </w:rPr>
      </w:pPr>
      <w:r w:rsidRPr="002059D3">
        <w:rPr>
          <w:rFonts w:ascii="Book Antiqua" w:hAnsi="Book Antiqua"/>
          <w:sz w:val="18"/>
          <w:szCs w:val="18"/>
        </w:rPr>
        <w:t>Aclaración:</w:t>
      </w:r>
      <w:r>
        <w:rPr>
          <w:rFonts w:ascii="Book Antiqua" w:hAnsi="Book Antiqua" w:cs="Gill Sans Light"/>
          <w:sz w:val="18"/>
          <w:szCs w:val="18"/>
        </w:rPr>
        <w:t xml:space="preserve"> Marcela Samassa</w:t>
      </w:r>
      <w:r>
        <w:rPr>
          <w:rFonts w:ascii="Book Antiqua" w:hAnsi="Book Antiqua" w:cs="Gill Sans Light"/>
          <w:sz w:val="18"/>
          <w:szCs w:val="18"/>
        </w:rPr>
        <w:tab/>
        <w:t>Maximiliano D´Angelo</w:t>
      </w:r>
    </w:p>
    <w:p w:rsidR="00151FB3" w:rsidRPr="002059D3" w:rsidRDefault="00151FB3" w:rsidP="00151FB3">
      <w:pPr>
        <w:widowControl w:val="0"/>
        <w:spacing w:line="276" w:lineRule="auto"/>
        <w:ind w:left="2410" w:right="1268" w:firstLine="0"/>
        <w:contextualSpacing w:val="0"/>
        <w:rPr>
          <w:rFonts w:ascii="Book Antiqua" w:hAnsi="Book Antiqua" w:cs="Gill Sans Light"/>
          <w:sz w:val="18"/>
          <w:szCs w:val="18"/>
        </w:rPr>
      </w:pPr>
      <w:r w:rsidRPr="002059D3">
        <w:rPr>
          <w:rFonts w:ascii="Book Antiqua" w:hAnsi="Book Antiqua"/>
          <w:sz w:val="18"/>
          <w:szCs w:val="18"/>
        </w:rPr>
        <w:t xml:space="preserve">Carácter: </w:t>
      </w:r>
      <w:r>
        <w:rPr>
          <w:rFonts w:ascii="Book Antiqua" w:hAnsi="Book Antiqua"/>
          <w:sz w:val="18"/>
          <w:szCs w:val="18"/>
        </w:rPr>
        <w:t xml:space="preserve">          </w:t>
      </w:r>
      <w:r>
        <w:rPr>
          <w:rFonts w:ascii="Book Antiqua" w:hAnsi="Book Antiqua" w:cs="Gill Sans Light"/>
          <w:sz w:val="18"/>
          <w:szCs w:val="18"/>
        </w:rPr>
        <w:t>Apoderada</w:t>
      </w:r>
      <w:r>
        <w:rPr>
          <w:rFonts w:ascii="Book Antiqua" w:hAnsi="Book Antiqua" w:cs="Gill Sans Light"/>
          <w:sz w:val="18"/>
          <w:szCs w:val="18"/>
        </w:rPr>
        <w:tab/>
        <w:t xml:space="preserve">          Apoderado</w:t>
      </w:r>
      <w:r>
        <w:rPr>
          <w:rFonts w:ascii="Book Antiqua" w:hAnsi="Book Antiqua" w:cs="Gill Sans Light"/>
          <w:sz w:val="18"/>
          <w:szCs w:val="18"/>
        </w:rPr>
        <w:tab/>
      </w:r>
    </w:p>
    <w:p w:rsidR="00151FB3" w:rsidRDefault="00151FB3" w:rsidP="00151FB3">
      <w:pPr>
        <w:spacing w:line="276" w:lineRule="auto"/>
        <w:ind w:firstLine="0"/>
      </w:pPr>
    </w:p>
    <w:p w:rsidR="00151FB3" w:rsidRDefault="00151FB3" w:rsidP="00151FB3"/>
    <w:p w:rsidR="0079424E" w:rsidRPr="00151FB3" w:rsidRDefault="0079424E" w:rsidP="00151FB3"/>
    <w:sectPr w:rsidR="0079424E" w:rsidRPr="00151FB3" w:rsidSect="003C2347">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A3" w:rsidRDefault="007B65A3" w:rsidP="003C2347">
      <w:pPr>
        <w:spacing w:line="240" w:lineRule="auto"/>
      </w:pPr>
      <w:r>
        <w:separator/>
      </w:r>
    </w:p>
  </w:endnote>
  <w:endnote w:type="continuationSeparator" w:id="0">
    <w:p w:rsidR="007B65A3" w:rsidRDefault="007B65A3" w:rsidP="003C2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Light">
    <w:altName w:val="Segoe UI Semilight"/>
    <w:charset w:val="B1"/>
    <w:family w:val="swiss"/>
    <w:pitch w:val="variable"/>
    <w:sig w:usb0="80000A67" w:usb1="00000000" w:usb2="00000000" w:usb3="00000000" w:csb0="000001F7" w:csb1="00000000"/>
  </w:font>
  <w:font w:name="MS Mincho">
    <w:altName w:val="Yu Gothic UI"/>
    <w:panose1 w:val="02020609040205080304"/>
    <w:charset w:val="80"/>
    <w:family w:val="modern"/>
    <w:pitch w:val="fixed"/>
    <w:sig w:usb0="E00002FF" w:usb1="6AC7FDFB" w:usb2="08000012" w:usb3="00000000" w:csb0="0002009F" w:csb1="00000000"/>
  </w:font>
  <w:font w:name="American Typewriter">
    <w:altName w:val="Times New Roman"/>
    <w:charset w:val="4D"/>
    <w:family w:val="roman"/>
    <w:pitch w:val="variable"/>
    <w:sig w:usb0="A000006F" w:usb1="00000019" w:usb2="00000000" w:usb3="00000000" w:csb0="0000011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NPP Sans">
    <w:panose1 w:val="02000000000000000000"/>
    <w:charset w:val="00"/>
    <w:family w:val="modern"/>
    <w:notTrueType/>
    <w:pitch w:val="variable"/>
    <w:sig w:usb0="A00002AF" w:usb1="4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4F1BEA" w:rsidP="004F1BEA">
    <w:pPr>
      <w:pStyle w:val="Footer"/>
      <w:jc w:val="left"/>
      <w:rPr>
        <w:color w:val="000000"/>
        <w:sz w:val="17"/>
      </w:rPr>
    </w:pPr>
    <w:bookmarkStart w:id="1" w:name="TITUS1FooterEvenPages"/>
    <w:r>
      <w:rPr>
        <w:color w:val="000000"/>
        <w:sz w:val="17"/>
      </w:rPr>
      <w:t> </w:t>
    </w:r>
  </w:p>
  <w:bookmarkEnd w:id="1"/>
  <w:p w:rsidR="003C2347" w:rsidRDefault="003C2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4F1BEA" w:rsidP="004F1BEA">
    <w:pPr>
      <w:pStyle w:val="Footer"/>
      <w:jc w:val="left"/>
      <w:rPr>
        <w:color w:val="000000"/>
        <w:sz w:val="17"/>
      </w:rPr>
    </w:pPr>
    <w:bookmarkStart w:id="2" w:name="TITUS1FooterPrimary"/>
    <w:r>
      <w:rPr>
        <w:color w:val="000000"/>
        <w:sz w:val="17"/>
      </w:rPr>
      <w:t> </w:t>
    </w:r>
  </w:p>
  <w:bookmarkEnd w:id="2"/>
  <w:p w:rsidR="003C2347" w:rsidRDefault="003C2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4F1BEA" w:rsidP="004F1BEA">
    <w:pPr>
      <w:pStyle w:val="Footer"/>
      <w:jc w:val="left"/>
      <w:rPr>
        <w:color w:val="000000"/>
        <w:sz w:val="17"/>
      </w:rPr>
    </w:pPr>
    <w:bookmarkStart w:id="3" w:name="TITUS1FooterFirstPage"/>
    <w:r>
      <w:rPr>
        <w:color w:val="000000"/>
        <w:sz w:val="17"/>
      </w:rPr>
      <w:t> </w:t>
    </w:r>
  </w:p>
  <w:bookmarkEnd w:id="3"/>
  <w:p w:rsidR="003C2347" w:rsidRDefault="003C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A3" w:rsidRDefault="007B65A3" w:rsidP="003C2347">
      <w:pPr>
        <w:spacing w:line="240" w:lineRule="auto"/>
      </w:pPr>
      <w:r>
        <w:separator/>
      </w:r>
    </w:p>
  </w:footnote>
  <w:footnote w:type="continuationSeparator" w:id="0">
    <w:p w:rsidR="007B65A3" w:rsidRDefault="007B65A3" w:rsidP="003C2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3C2347">
    <w:pPr>
      <w:pStyle w:val="Header"/>
      <w:ind w:firstLine="0"/>
    </w:pPr>
    <w:r w:rsidRPr="004C268C">
      <w:rPr>
        <w:rFonts w:ascii="BNPP Sans" w:hAnsi="BNPP Sans"/>
        <w:noProof/>
        <w:color w:val="000000" w:themeColor="text1"/>
        <w:lang w:val="es-AR" w:eastAsia="es-AR"/>
      </w:rPr>
      <w:drawing>
        <wp:anchor distT="0" distB="0" distL="114300" distR="114300" simplePos="0" relativeHeight="251663360" behindDoc="1" locked="1" layoutInCell="1" allowOverlap="1" wp14:anchorId="6B72B5BE" wp14:editId="2AB33043">
          <wp:simplePos x="0" y="0"/>
          <wp:positionH relativeFrom="page">
            <wp:posOffset>152400</wp:posOffset>
          </wp:positionH>
          <wp:positionV relativeFrom="page">
            <wp:posOffset>262255</wp:posOffset>
          </wp:positionV>
          <wp:extent cx="7552055" cy="10453370"/>
          <wp:effectExtent l="0" t="0" r="0" b="5080"/>
          <wp:wrapNone/>
          <wp:docPr id="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2055" cy="10453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3C2347">
    <w:pPr>
      <w:pStyle w:val="Header"/>
      <w:ind w:firstLine="0"/>
    </w:pPr>
    <w:r w:rsidRPr="004C268C">
      <w:rPr>
        <w:rFonts w:ascii="BNPP Sans" w:hAnsi="BNPP Sans"/>
        <w:noProof/>
        <w:color w:val="000000" w:themeColor="text1"/>
        <w:lang w:val="es-AR" w:eastAsia="es-AR"/>
      </w:rPr>
      <w:drawing>
        <wp:anchor distT="0" distB="0" distL="114300" distR="114300" simplePos="0" relativeHeight="251659264" behindDoc="1" locked="1" layoutInCell="1" allowOverlap="1" wp14:anchorId="426C3868" wp14:editId="4CBCBAA8">
          <wp:simplePos x="0" y="0"/>
          <wp:positionH relativeFrom="page">
            <wp:posOffset>152400</wp:posOffset>
          </wp:positionH>
          <wp:positionV relativeFrom="page">
            <wp:posOffset>262255</wp:posOffset>
          </wp:positionV>
          <wp:extent cx="7552055" cy="10453370"/>
          <wp:effectExtent l="0" t="0" r="0" b="5080"/>
          <wp:wrapNone/>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2055" cy="10453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3C2347">
    <w:pPr>
      <w:pStyle w:val="Header"/>
      <w:ind w:firstLine="0"/>
    </w:pPr>
    <w:r w:rsidRPr="004C268C">
      <w:rPr>
        <w:rFonts w:ascii="BNPP Sans" w:hAnsi="BNPP Sans"/>
        <w:noProof/>
        <w:color w:val="000000" w:themeColor="text1"/>
        <w:lang w:val="es-AR" w:eastAsia="es-AR"/>
      </w:rPr>
      <w:drawing>
        <wp:anchor distT="0" distB="0" distL="114300" distR="114300" simplePos="0" relativeHeight="251661312" behindDoc="1" locked="1" layoutInCell="1" allowOverlap="1" wp14:anchorId="7F51A6CE" wp14:editId="7A791CA0">
          <wp:simplePos x="0" y="0"/>
          <wp:positionH relativeFrom="page">
            <wp:posOffset>152400</wp:posOffset>
          </wp:positionH>
          <wp:positionV relativeFrom="page">
            <wp:posOffset>262255</wp:posOffset>
          </wp:positionV>
          <wp:extent cx="7552055" cy="10453370"/>
          <wp:effectExtent l="0" t="0" r="0" b="5080"/>
          <wp:wrapNone/>
          <wp:docPr id="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2055" cy="10453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C2421"/>
    <w:multiLevelType w:val="hybridMultilevel"/>
    <w:tmpl w:val="9412DC3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6"/>
    <w:rsid w:val="0002745D"/>
    <w:rsid w:val="000F484A"/>
    <w:rsid w:val="00151FB3"/>
    <w:rsid w:val="001816E8"/>
    <w:rsid w:val="00187242"/>
    <w:rsid w:val="001B30C6"/>
    <w:rsid w:val="0024316E"/>
    <w:rsid w:val="0026574A"/>
    <w:rsid w:val="00280DE1"/>
    <w:rsid w:val="002D5B83"/>
    <w:rsid w:val="002E5185"/>
    <w:rsid w:val="003C2347"/>
    <w:rsid w:val="00411292"/>
    <w:rsid w:val="00473632"/>
    <w:rsid w:val="004F1BEA"/>
    <w:rsid w:val="00585284"/>
    <w:rsid w:val="005C4334"/>
    <w:rsid w:val="006A3742"/>
    <w:rsid w:val="00710F65"/>
    <w:rsid w:val="00783B96"/>
    <w:rsid w:val="0079424E"/>
    <w:rsid w:val="007B65A3"/>
    <w:rsid w:val="00902F1C"/>
    <w:rsid w:val="00905CDE"/>
    <w:rsid w:val="00933AD4"/>
    <w:rsid w:val="00A70200"/>
    <w:rsid w:val="00BD4115"/>
    <w:rsid w:val="00BF720E"/>
    <w:rsid w:val="00C52D8B"/>
    <w:rsid w:val="00C72B29"/>
    <w:rsid w:val="00D01777"/>
    <w:rsid w:val="00D610F3"/>
    <w:rsid w:val="00D66899"/>
    <w:rsid w:val="00E41703"/>
    <w:rsid w:val="00E43B59"/>
    <w:rsid w:val="00E70DE6"/>
    <w:rsid w:val="00E819A8"/>
    <w:rsid w:val="00EC7C07"/>
    <w:rsid w:val="00EE146E"/>
    <w:rsid w:val="00EF7A4B"/>
    <w:rsid w:val="00F47DA5"/>
    <w:rsid w:val="00FE40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F2F6B-0F9D-477E-9CCA-F29E9AC2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istasCuerpoTexto"/>
    <w:qFormat/>
    <w:rsid w:val="00783B96"/>
    <w:pPr>
      <w:spacing w:line="300" w:lineRule="exact"/>
      <w:ind w:firstLine="709"/>
      <w:contextualSpacing/>
      <w:jc w:val="both"/>
    </w:pPr>
    <w:rPr>
      <w:rFonts w:ascii="Gill Sans Light" w:eastAsia="MS Mincho" w:hAnsi="Gill Sans Light" w:cs="American Typewriter"/>
      <w:sz w:val="22"/>
      <w:szCs w:val="22"/>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347"/>
    <w:pPr>
      <w:tabs>
        <w:tab w:val="center" w:pos="4680"/>
        <w:tab w:val="right" w:pos="9360"/>
      </w:tabs>
      <w:spacing w:line="240" w:lineRule="auto"/>
    </w:pPr>
  </w:style>
  <w:style w:type="character" w:customStyle="1" w:styleId="HeaderChar">
    <w:name w:val="Header Char"/>
    <w:basedOn w:val="DefaultParagraphFont"/>
    <w:link w:val="Header"/>
    <w:uiPriority w:val="99"/>
    <w:rsid w:val="003C2347"/>
    <w:rPr>
      <w:rFonts w:ascii="Gill Sans Light" w:eastAsia="MS Mincho" w:hAnsi="Gill Sans Light" w:cs="American Typewriter"/>
      <w:sz w:val="22"/>
      <w:szCs w:val="22"/>
      <w:lang w:val="es-ES_tradnl" w:eastAsia="es-ES"/>
    </w:rPr>
  </w:style>
  <w:style w:type="paragraph" w:styleId="Footer">
    <w:name w:val="footer"/>
    <w:basedOn w:val="Normal"/>
    <w:link w:val="FooterChar"/>
    <w:uiPriority w:val="99"/>
    <w:unhideWhenUsed/>
    <w:rsid w:val="003C2347"/>
    <w:pPr>
      <w:tabs>
        <w:tab w:val="center" w:pos="4680"/>
        <w:tab w:val="right" w:pos="9360"/>
      </w:tabs>
      <w:spacing w:line="240" w:lineRule="auto"/>
    </w:pPr>
  </w:style>
  <w:style w:type="character" w:customStyle="1" w:styleId="FooterChar">
    <w:name w:val="Footer Char"/>
    <w:basedOn w:val="DefaultParagraphFont"/>
    <w:link w:val="Footer"/>
    <w:uiPriority w:val="99"/>
    <w:rsid w:val="003C2347"/>
    <w:rPr>
      <w:rFonts w:ascii="Gill Sans Light" w:eastAsia="MS Mincho" w:hAnsi="Gill Sans Light" w:cs="American Typewriter"/>
      <w:sz w:val="22"/>
      <w:szCs w:val="22"/>
      <w:lang w:val="es-ES_tradnl" w:eastAsia="es-ES"/>
    </w:rPr>
  </w:style>
  <w:style w:type="paragraph" w:styleId="BalloonText">
    <w:name w:val="Balloon Text"/>
    <w:basedOn w:val="Normal"/>
    <w:link w:val="BalloonTextChar"/>
    <w:uiPriority w:val="99"/>
    <w:semiHidden/>
    <w:unhideWhenUsed/>
    <w:rsid w:val="003C23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347"/>
    <w:rPr>
      <w:rFonts w:ascii="Tahoma" w:eastAsia="MS Mincho" w:hAnsi="Tahoma" w:cs="Tahoma"/>
      <w:sz w:val="16"/>
      <w:szCs w:val="16"/>
      <w:lang w:val="es-ES_tradnl" w:eastAsia="es-ES"/>
    </w:rPr>
  </w:style>
  <w:style w:type="paragraph" w:styleId="ListParagraph">
    <w:name w:val="List Paragraph"/>
    <w:basedOn w:val="Normal"/>
    <w:uiPriority w:val="34"/>
    <w:qFormat/>
    <w:rsid w:val="00E43B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8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2020-12-10T12:15:17+00:00</eDoc_UploadDate>
    <eDoc_PortalPublicationDate xmlns="60a93103-6095-4625-b5c9-7656c6bf4ad1">2020-12-10T00:00:00+00:00</eDoc_PortalPublicationDate>
    <eDoc_DocumentLink xmlns="60a93103-6095-4625-b5c9-7656c6bf4ad1" xsi:nil="true"/>
    <eDoc_Checksum xmlns="60a93103-6095-4625-b5c9-7656c6bf4ad1">4edc537982cb6bc8ebdd96c4c3ac486eb8d7c02f93feac174a48c3823301e486</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2030-12-10T00:00:00+00:00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2020-12-10T00:00:00+00:00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825ccd67-51bc-4d71-915b-008e7b2697f4</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QCCV6AVP7WQQ-659030661-19000</_dlc_DocId>
    <_dlc_DocIdUrl xmlns="60a93103-6095-4625-b5c9-7656c6bf4ad1">
      <Url>https://bnpparibas.sharepoint.com/sites/am-edocs/public/_layouts/15/DocIdRedir.aspx?ID=QCCV6AVP7WQQ-659030661-19000</Url>
      <Description>QCCV6AVP7WQQ-659030661-19000</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8E8DB675-5514-4832-A613-6C4949C6E767}"/>
</file>

<file path=customXml/itemProps2.xml><?xml version="1.0" encoding="utf-8"?>
<ds:datastoreItem xmlns:ds="http://schemas.openxmlformats.org/officeDocument/2006/customXml" ds:itemID="{BE5C9DCB-BF9A-4CD4-B30B-85D0909D614F}"/>
</file>

<file path=customXml/itemProps3.xml><?xml version="1.0" encoding="utf-8"?>
<ds:datastoreItem xmlns:ds="http://schemas.openxmlformats.org/officeDocument/2006/customXml" ds:itemID="{066CE0BF-B7F6-43D3-BE2A-429C0DB4DA6D}"/>
</file>

<file path=customXml/itemProps4.xml><?xml version="1.0" encoding="utf-8"?>
<ds:datastoreItem xmlns:ds="http://schemas.openxmlformats.org/officeDocument/2006/customXml" ds:itemID="{36AEDB1D-E524-41A6-87EB-B1C1F0808F43}"/>
</file>

<file path=customXml/itemProps5.xml><?xml version="1.0" encoding="utf-8"?>
<ds:datastoreItem xmlns:ds="http://schemas.openxmlformats.org/officeDocument/2006/customXml" ds:itemID="{A582409D-4ED5-4350-B971-49FBAAA2456D}"/>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3501</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BNP Paribas</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Flavia Domina</dc:creator>
  <cp:keywords>Classification=Public</cp:keywords>
  <cp:lastModifiedBy>Liza MANOTTI</cp:lastModifiedBy>
  <cp:revision>4</cp:revision>
  <cp:lastPrinted>2019-09-18T14:04:00Z</cp:lastPrinted>
  <dcterms:created xsi:type="dcterms:W3CDTF">2019-09-18T13:59:00Z</dcterms:created>
  <dcterms:modified xsi:type="dcterms:W3CDTF">2019-09-18T14:04:00Z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6acc850d-0c4f-435f-9e0e-a636f4896e98</vt:lpwstr>
  </property>
  <property fmtid="{D5CDD505-2E9C-101B-9397-08002B2CF9AE}" pid="3" name="Classification">
    <vt:lpwstr>Public</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108945900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937d2990-39c9-4515-a96c-fa5c1a319cab</vt:lpwstr>
  </property>
  <property fmtid="{D5CDD505-2E9C-101B-9397-08002B2CF9AE}" pid="30" name="e29cc4a77b0e424abf749846b1b16262">
    <vt:lpwstr>Non Pro|0d42a436-3d3e-4510-9840-665633231275</vt:lpwstr>
  </property>
</Properties>
</file>