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cs="Calibri" w:ascii="FreeSans" w:hAnsi="FreeSans"/>
          <w:b/>
          <w:bCs/>
          <w:spacing w:val="-3"/>
          <w:sz w:val="20"/>
          <w:szCs w:val="20"/>
          <w:u w:val="single"/>
          <w:lang w:val="es-AR" w:eastAsia="es-AR"/>
        </w:rPr>
        <w:t>ACTA NRO. 194:</w:t>
      </w:r>
      <w:r>
        <w:rPr>
          <w:rFonts w:cs="Calibri" w:ascii="FreeSans" w:hAnsi="FreeSans"/>
          <w:b w:val="false"/>
          <w:bCs w:val="false"/>
          <w:spacing w:val="-3"/>
          <w:sz w:val="20"/>
          <w:szCs w:val="20"/>
          <w:u w:val="none"/>
          <w:lang w:val="es-AR" w:eastAsia="es-AR"/>
        </w:rPr>
        <w:t xml:space="preserve"> En la Ciudad de Buenos Aires, a los 08 días del mes de marzo del año 2019, siendo las 8 horas se reúnen los Señores Síndicos Titulares Sandra Esther Juri, Tomás Martín Tomkinson, Darío Gabriel Melnitzky que firman al pie para el tratamiento de los siguientes temas: </w:t>
      </w:r>
      <w:r>
        <w:rPr>
          <w:rFonts w:cs="Calibri" w:ascii="FreeSans" w:hAnsi="FreeSans"/>
          <w:b/>
          <w:bCs/>
          <w:spacing w:val="-3"/>
          <w:sz w:val="20"/>
          <w:szCs w:val="20"/>
          <w:u w:val="single"/>
          <w:lang w:val="es-AR" w:eastAsia="es-AR"/>
        </w:rPr>
        <w:t>Verificación de Libros Contables:</w:t>
      </w:r>
      <w:r>
        <w:rPr>
          <w:rFonts w:cs="Calibri" w:ascii="FreeSans" w:hAnsi="FreeSans"/>
          <w:b w:val="false"/>
          <w:bCs w:val="false"/>
          <w:spacing w:val="-3"/>
          <w:sz w:val="20"/>
          <w:szCs w:val="20"/>
          <w:u w:val="none"/>
          <w:lang w:val="es-AR" w:eastAsia="es-AR"/>
        </w:rPr>
        <w:t xml:space="preserve"> Se deja constancia de haberse verificado los libros y documentación de la sociedad, donde se comprobaron los pases de los asientos correspondientes hasta el mes de diciembre pasado inclusive. </w:t>
      </w:r>
      <w:r>
        <w:rPr>
          <w:rFonts w:cs="Calibri" w:ascii="FreeSans" w:hAnsi="FreeSans"/>
          <w:b/>
          <w:bCs/>
          <w:spacing w:val="-3"/>
          <w:sz w:val="20"/>
          <w:szCs w:val="20"/>
          <w:u w:val="single"/>
          <w:lang w:val="es-AR" w:eastAsia="es-AR"/>
        </w:rPr>
        <w:t>Verificación de valores:</w:t>
      </w:r>
      <w:r>
        <w:rPr>
          <w:rFonts w:cs="Calibri" w:ascii="FreeSans" w:hAnsi="FreeSans"/>
          <w:b w:val="false"/>
          <w:bCs w:val="false"/>
          <w:spacing w:val="-3"/>
          <w:sz w:val="20"/>
          <w:szCs w:val="20"/>
          <w:u w:val="none"/>
          <w:lang w:val="es-AR" w:eastAsia="es-AR"/>
        </w:rPr>
        <w:t xml:space="preserve"> Se han verificado las cuentas y valores mobiliarios al 31 de diciembre de 2018 último inclusive, comprobándose que sus resultados son los que obran en los libros a la misma fecha </w:t>
      </w:r>
      <w:r>
        <w:rPr>
          <w:rFonts w:cs="Calibri" w:ascii="FreeSans" w:hAnsi="FreeSans"/>
          <w:b/>
          <w:bCs/>
          <w:spacing w:val="-3"/>
          <w:sz w:val="20"/>
          <w:szCs w:val="20"/>
          <w:u w:val="single"/>
          <w:lang w:val="es-AR" w:eastAsia="es-AR"/>
        </w:rPr>
        <w:t>Informe sobre asistencia a las reuniones de Directorio</w:t>
      </w:r>
      <w:r>
        <w:rPr>
          <w:rFonts w:cs="Calibri" w:ascii="FreeSans" w:hAnsi="FreeSans"/>
          <w:b/>
          <w:bCs/>
          <w:spacing w:val="-3"/>
          <w:sz w:val="20"/>
          <w:szCs w:val="20"/>
          <w:u w:val="none"/>
          <w:lang w:val="es-AR" w:eastAsia="es-AR"/>
        </w:rPr>
        <w:t>:</w:t>
      </w:r>
      <w:r>
        <w:rPr>
          <w:rFonts w:cs="Calibri" w:ascii="FreeSans" w:hAnsi="FreeSans"/>
          <w:b w:val="false"/>
          <w:bCs w:val="false"/>
          <w:spacing w:val="-3"/>
          <w:sz w:val="20"/>
          <w:szCs w:val="20"/>
          <w:u w:val="none"/>
          <w:lang w:val="es-AR" w:eastAsia="es-AR"/>
        </w:rPr>
        <w:t xml:space="preserve"> Se informa sobre los temas tratados en las reuniones de Directorio de fechas celebradas desde enero a la fecha. </w:t>
      </w:r>
      <w:r>
        <w:rPr>
          <w:rFonts w:cs="Calibri" w:ascii="FreeSans" w:hAnsi="FreeSans"/>
          <w:b/>
          <w:bCs/>
          <w:spacing w:val="-3"/>
          <w:sz w:val="20"/>
          <w:szCs w:val="20"/>
          <w:u w:val="single"/>
          <w:lang w:val="es-AR" w:eastAsia="es-AR"/>
        </w:rPr>
        <w:t>Revisión del trabajo de los Auditores Externos:</w:t>
      </w:r>
      <w:r>
        <w:rPr>
          <w:rFonts w:cs="Calibri" w:ascii="FreeSans" w:hAnsi="FreeSans"/>
          <w:b w:val="false"/>
          <w:bCs w:val="false"/>
          <w:spacing w:val="-3"/>
          <w:sz w:val="20"/>
          <w:szCs w:val="20"/>
          <w:u w:val="none"/>
          <w:lang w:val="es-AR" w:eastAsia="es-AR"/>
        </w:rPr>
        <w:t xml:space="preserve"> Se deja constancia que se han celebrado reuniones con los Auditores Externos, con el objeto de analizar la tarea de auditoría realizada por los mismos, como así también el cumplimiento de los procedimientos aplicados  y los resultados de la tarea, no surgiendo observaciones que formular. </w:t>
      </w:r>
      <w:r>
        <w:rPr>
          <w:rFonts w:cs="Calibri" w:ascii="FreeSans" w:hAnsi="FreeSans"/>
          <w:b/>
          <w:bCs/>
          <w:spacing w:val="-3"/>
          <w:sz w:val="20"/>
          <w:szCs w:val="20"/>
          <w:u w:val="none"/>
          <w:lang w:val="es-AR" w:eastAsia="es-AR"/>
        </w:rPr>
        <w:t>Informe de la Comisión Fiscalizadora por la auditoria sobre los estados contables de la Sociedad BNP Paribas Investment Partners Argentina S.A. Sociedad Gerente de Fondos Comunes de Inversión:</w:t>
      </w:r>
      <w:r>
        <w:rPr>
          <w:rFonts w:cs="Calibri" w:ascii="FreeSans" w:hAnsi="FreeSans"/>
          <w:b w:val="false"/>
          <w:bCs w:val="false"/>
          <w:spacing w:val="-3"/>
          <w:sz w:val="20"/>
          <w:szCs w:val="20"/>
          <w:u w:val="none"/>
          <w:lang w:val="es-AR" w:eastAsia="es-AR"/>
        </w:rPr>
        <w:t xml:space="preserve"> Se informa que habiéndose completado las </w:t>
      </w:r>
      <w:r>
        <w:rPr>
          <w:rFonts w:cs="Calibri" w:ascii="FreeSans" w:hAnsi="FreeSans"/>
          <w:b w:val="false"/>
          <w:bCs w:val="false"/>
          <w:color w:val="000000"/>
          <w:spacing w:val="-3"/>
          <w:sz w:val="20"/>
          <w:szCs w:val="20"/>
          <w:u w:val="none"/>
          <w:lang w:val="es-AR" w:eastAsia="es-AR"/>
        </w:rPr>
        <w:t>tareas de auditoria de los estados contables al</w:t>
      </w:r>
      <w:r>
        <w:rPr>
          <w:rFonts w:cs="Calibri" w:ascii="FreeSans" w:hAnsi="FreeSans"/>
          <w:b w:val="false"/>
          <w:bCs w:val="false"/>
          <w:spacing w:val="-3"/>
          <w:sz w:val="20"/>
          <w:szCs w:val="20"/>
          <w:u w:val="none"/>
          <w:lang w:val="es-AR" w:eastAsia="es-AR"/>
        </w:rPr>
        <w:t xml:space="preserve"> 31 de diciembre de 2018, prevista en la Ley 19550, corresponde dar tratamiento al informe Comision Fiscalizadora de la Sociedad Gerente, cuyo texto es puesto a consideracion. Luego de un intercambio de ideas se aprueba por unanimidad el informe de la Comisión Fiscalizadora que se transcribe a continuacion y se resuelve delegar la firma del informe preparado por esta Comisión Fiscalizadora precedentemente citado en la Contadora Sandra Esther Juri. </w:t>
      </w:r>
      <w:r>
        <w:rPr>
          <w:rFonts w:cs="Calibri" w:ascii="FreeSans" w:hAnsi="FreeSans"/>
          <w:b/>
          <w:bCs w:val="false"/>
          <w:spacing w:val="-3"/>
          <w:sz w:val="20"/>
          <w:szCs w:val="20"/>
          <w:u w:val="single"/>
          <w:lang w:val="es-AR" w:eastAsia="es-AR"/>
        </w:rPr>
        <w:t xml:space="preserve">INFORME DE LA COMISION FISCALIZADORA </w:t>
      </w:r>
      <w:r>
        <w:rPr>
          <w:rFonts w:cs="Calibri" w:ascii="FreeSans" w:hAnsi="FreeSans"/>
          <w:b w:val="false"/>
          <w:bCs w:val="false"/>
          <w:spacing w:val="-3"/>
          <w:sz w:val="20"/>
          <w:szCs w:val="20"/>
          <w:u w:val="none"/>
          <w:lang w:val="es-AR" w:eastAsia="es-AR"/>
        </w:rPr>
        <w:t xml:space="preserve">A los señores Accionistas de </w:t>
      </w:r>
      <w:r>
        <w:rPr>
          <w:rFonts w:cs="Calibri" w:ascii="FreeSans" w:hAnsi="FreeSans"/>
          <w:b/>
          <w:bCs w:val="false"/>
          <w:spacing w:val="-3"/>
          <w:sz w:val="20"/>
          <w:szCs w:val="20"/>
          <w:u w:val="none"/>
          <w:lang w:val="en-US" w:eastAsia="es-AR"/>
        </w:rPr>
        <w:t xml:space="preserve">BNP Paribas Investment Partners Argentina S.A. </w:t>
      </w:r>
      <w:r>
        <w:rPr>
          <w:rFonts w:cs="Calibri" w:ascii="FreeSans" w:hAnsi="FreeSans"/>
          <w:b/>
          <w:bCs w:val="false"/>
          <w:spacing w:val="-3"/>
          <w:sz w:val="20"/>
          <w:szCs w:val="20"/>
          <w:u w:val="none"/>
          <w:lang w:val="es-ES" w:eastAsia="es-AR"/>
        </w:rPr>
        <w:t xml:space="preserve">Sociedad Gerente de Fondos Comunes de Inversión </w:t>
      </w:r>
      <w:r>
        <w:rPr>
          <w:rFonts w:cs="Calibri" w:ascii="FreeSans" w:hAnsi="FreeSans"/>
          <w:b w:val="false"/>
          <w:bCs w:val="false"/>
          <w:spacing w:val="-3"/>
          <w:sz w:val="20"/>
          <w:szCs w:val="20"/>
          <w:u w:val="none"/>
          <w:lang w:val="es-AR" w:eastAsia="es-AR"/>
        </w:rPr>
        <w:t xml:space="preserve">Domicilio legal: Carlos Pellegrini 855 - piso 9, oficina “A” Ciudad Autónoma de Buenos Aires C.U.I.T. N°  33-69318999-9 </w:t>
      </w:r>
      <w:r>
        <w:rPr>
          <w:rFonts w:cs="Calibri" w:ascii="FreeSans" w:hAnsi="FreeSans"/>
          <w:b/>
          <w:bCs w:val="false"/>
          <w:spacing w:val="-3"/>
          <w:sz w:val="20"/>
          <w:szCs w:val="20"/>
          <w:u w:val="none"/>
          <w:lang w:val="es-AR" w:eastAsia="es-AR"/>
        </w:rPr>
        <w:t xml:space="preserve">Introducción </w:t>
      </w:r>
      <w:r>
        <w:rPr>
          <w:rFonts w:cs="Calibri" w:ascii="FreeSans" w:hAnsi="FreeSans"/>
          <w:b w:val="false"/>
          <w:bCs w:val="false"/>
          <w:spacing w:val="-3"/>
          <w:sz w:val="20"/>
          <w:szCs w:val="20"/>
          <w:u w:val="none"/>
          <w:lang w:val="es-AR" w:eastAsia="es-AR"/>
        </w:rPr>
        <w:t xml:space="preserve">En nuestro carácter de integrantes de la Comisión Fiscalizadora de </w:t>
      </w:r>
      <w:bookmarkStart w:id="0" w:name="__DdeLink__284_2123653355"/>
      <w:r>
        <w:rPr>
          <w:rFonts w:cs="Calibri" w:ascii="FreeSans" w:hAnsi="FreeSans"/>
          <w:b w:val="false"/>
          <w:bCs w:val="false"/>
          <w:spacing w:val="-3"/>
          <w:sz w:val="20"/>
          <w:szCs w:val="20"/>
          <w:u w:val="none"/>
          <w:lang w:val="es-AR" w:eastAsia="es-AR"/>
        </w:rPr>
        <w:t>BNP Paribas Investment Partners Argentina S.A. Sociedad Gerente de Fondos Comunes de Inversión</w:t>
      </w:r>
      <w:bookmarkEnd w:id="0"/>
      <w:r>
        <w:rPr>
          <w:rFonts w:cs="Calibri" w:ascii="FreeSans" w:hAnsi="FreeSans"/>
          <w:b w:val="false"/>
          <w:bCs w:val="false"/>
          <w:spacing w:val="-3"/>
          <w:sz w:val="20"/>
          <w:szCs w:val="20"/>
          <w:u w:val="none"/>
          <w:lang w:val="es-AR" w:eastAsia="es-AR"/>
        </w:rPr>
        <w:t xml:space="preserve">, de acuerdo con lo dispuesto por el inciso 5 del artículo 294 de la Ley de Sociedades Comerciales, hemos efectuado un examen de los estados contables adjuntos de </w:t>
      </w:r>
      <w:r>
        <w:rPr>
          <w:rFonts w:cs="Calibri" w:ascii="FreeSans" w:hAnsi="FreeSans"/>
          <w:b/>
          <w:bCs/>
          <w:spacing w:val="-3"/>
          <w:sz w:val="20"/>
          <w:szCs w:val="20"/>
          <w:u w:val="none"/>
          <w:lang w:val="es-AR" w:eastAsia="es-AR"/>
        </w:rPr>
        <w:t xml:space="preserve">BNP Paribas Investment Partners Argentina S.A. Sociedad Gerente de Fondos Comunes de Inversión </w:t>
      </w:r>
      <w:r>
        <w:rPr>
          <w:rFonts w:cs="Calibri" w:ascii="FreeSans" w:hAnsi="FreeSans"/>
          <w:b w:val="false"/>
          <w:bCs w:val="false"/>
          <w:spacing w:val="-3"/>
          <w:sz w:val="20"/>
          <w:szCs w:val="20"/>
          <w:u w:val="none"/>
          <w:lang w:val="es-AR" w:eastAsia="es-AR"/>
        </w:rPr>
        <w:t>(en adelante “la Sociedad”), que comprenden el estado de situación patrimonial al 31 de diciembre de 2018, los correspondientes estados de resultados,</w:t>
      </w:r>
      <w:r>
        <w:rPr>
          <w:rFonts w:cs="Calibri" w:ascii="FreeSans" w:hAnsi="FreeSans"/>
          <w:b w:val="false"/>
          <w:bCs w:val="false"/>
          <w:color w:val="0E15FF"/>
          <w:spacing w:val="-3"/>
          <w:sz w:val="20"/>
          <w:szCs w:val="20"/>
          <w:u w:val="none"/>
          <w:lang w:val="es-AR" w:eastAsia="es-AR"/>
        </w:rPr>
        <w:t xml:space="preserve"> </w:t>
      </w:r>
      <w:r>
        <w:rPr>
          <w:rFonts w:cs="Calibri" w:ascii="FreeSans" w:hAnsi="FreeSans"/>
          <w:b w:val="false"/>
          <w:bCs w:val="false"/>
          <w:spacing w:val="-3"/>
          <w:sz w:val="20"/>
          <w:szCs w:val="20"/>
          <w:u w:val="none"/>
          <w:lang w:val="es-AR" w:eastAsia="es-AR"/>
        </w:rPr>
        <w:t>de evolución del patrimonio neto</w:t>
      </w:r>
      <w:r>
        <w:rPr>
          <w:rFonts w:cs="Calibri" w:ascii="FreeSans" w:hAnsi="FreeSans"/>
          <w:b w:val="false"/>
          <w:bCs w:val="false"/>
          <w:color w:val="FF0000"/>
          <w:spacing w:val="-3"/>
          <w:sz w:val="20"/>
          <w:szCs w:val="20"/>
          <w:u w:val="none"/>
          <w:lang w:val="es-AR" w:eastAsia="es-AR"/>
        </w:rPr>
        <w:t xml:space="preserve"> </w:t>
      </w:r>
      <w:r>
        <w:rPr>
          <w:rFonts w:cs="Calibri" w:ascii="FreeSans" w:hAnsi="FreeSans"/>
          <w:b w:val="false"/>
          <w:bCs w:val="false"/>
          <w:spacing w:val="-3"/>
          <w:sz w:val="20"/>
          <w:szCs w:val="20"/>
          <w:u w:val="none"/>
          <w:lang w:val="es-AR" w:eastAsia="es-AR"/>
        </w:rPr>
        <w:t>y de flujo de efectivo y sus equivalentes por el ejercicio finalizado el 31 de diciembre de 2018, y así como un resumen de las políticas contables significativas y otra información explicativa incluidas en las notas 1 a 10 y anexos I a V que los complementan. Adicionalmente hemos revisado el Inventario y la Memoria del Directorio de la Sociedad por el ejercicio económico finalizado el 31 de diciembre de 2018.</w:t>
      </w:r>
      <w:r>
        <w:rPr>
          <w:rFonts w:eastAsia="Times New Roman" w:cs="Times New Roman" w:ascii="FreeSans" w:hAnsi="FreeSans"/>
          <w:b w:val="false"/>
          <w:bCs w:val="false"/>
          <w:color w:val="00000A"/>
          <w:spacing w:val="-3"/>
          <w:sz w:val="20"/>
          <w:szCs w:val="20"/>
          <w:u w:val="none"/>
          <w:lang w:val="en-US" w:eastAsia="en-US" w:bidi="ar-SA"/>
        </w:rPr>
        <w:t xml:space="preserve">Las cifras y otra información correspondientes al ejercicio económico finalizado el 31 de diciembre de 2017, reexpresadas en moneda de diciembre de 2018 de acuerdo a lo señalado en la nota 1.3 a los estados contables adjuntos, son parte integrante de los estados contables mencionados precedentemente y se las presenta con el propósito de que se interpreten exclusivamente en relación con las cifras y otra información del ejercicio actual. </w:t>
      </w:r>
      <w:r>
        <w:rPr>
          <w:rFonts w:cs="Calibri" w:ascii="FreeSans" w:hAnsi="FreeSans"/>
          <w:b/>
          <w:bCs w:val="false"/>
          <w:spacing w:val="-3"/>
          <w:sz w:val="20"/>
          <w:szCs w:val="20"/>
          <w:u w:val="none"/>
          <w:lang w:val="es-AR" w:eastAsia="es-AR"/>
        </w:rPr>
        <w:t xml:space="preserve">Responsabilidad del Directorio de la Sociedad en relación con los estados contables </w:t>
      </w:r>
      <w:r>
        <w:rPr>
          <w:rFonts w:cs="Calibri" w:ascii="FreeSans" w:hAnsi="FreeSans"/>
          <w:b w:val="false"/>
          <w:bCs w:val="false"/>
          <w:spacing w:val="-3"/>
          <w:sz w:val="20"/>
          <w:szCs w:val="20"/>
          <w:u w:val="none"/>
          <w:lang w:val="es-AR" w:eastAsia="es-AR"/>
        </w:rPr>
        <w:t xml:space="preserve">El Directorio de la Sociedad Gerente es responsable de la preparación y presentación razonable de los estados contables adjuntos de conformidad con las normas contables profesionales argentinas, como así también del control interno que considere necesario para permitir la preparación de estados contables libres de incorrecciones significativas. </w:t>
      </w:r>
      <w:r>
        <w:rPr>
          <w:rFonts w:cs="Calibri" w:ascii="FreeSans" w:hAnsi="FreeSans"/>
          <w:b/>
          <w:bCs w:val="false"/>
          <w:spacing w:val="-3"/>
          <w:sz w:val="20"/>
          <w:szCs w:val="20"/>
          <w:u w:val="none"/>
          <w:lang w:val="es-AR" w:eastAsia="es-AR"/>
        </w:rPr>
        <w:t xml:space="preserve">Responsabilidad de la Comisión Fiscalizadora </w:t>
      </w:r>
      <w:r>
        <w:rPr>
          <w:rFonts w:cs="Calibri" w:ascii="FreeSans" w:hAnsi="FreeSans"/>
          <w:b w:val="false"/>
          <w:bCs w:val="false"/>
          <w:color w:val="000000"/>
          <w:spacing w:val="-3"/>
          <w:sz w:val="20"/>
          <w:szCs w:val="20"/>
          <w:u w:val="none"/>
          <w:lang w:val="es-ES" w:eastAsia="es-ES"/>
        </w:rPr>
        <w:t xml:space="preserve">Nuestra responsabilidad consiste en expresar una opinión sobre los estados contables adjuntos. Para ello nuestro examen fue realizado de acuerdo con las normas de sindicatura vigentes establecidas por la Resolución Técnica Nº 15 de la Federación Argentina de Consejos Profesionales de Ciencias Económicas. Dichas normas requieren que el examen de los estados contables se efectúe de </w:t>
      </w:r>
      <w:r>
        <w:rPr>
          <w:rFonts w:cs="Calibri" w:ascii="FreeSans" w:hAnsi="FreeSans"/>
          <w:b w:val="false"/>
          <w:bCs w:val="false"/>
          <w:spacing w:val="-3"/>
          <w:sz w:val="20"/>
          <w:szCs w:val="20"/>
          <w:u w:val="none"/>
          <w:lang w:val="es-AR" w:eastAsia="es-AR"/>
        </w:rPr>
        <w:t>acuerdo</w:t>
      </w:r>
      <w:r>
        <w:rPr>
          <w:rFonts w:cs="Calibri" w:ascii="FreeSans" w:hAnsi="FreeSans"/>
          <w:b w:val="false"/>
          <w:bCs w:val="false"/>
          <w:color w:val="000000"/>
          <w:spacing w:val="-3"/>
          <w:sz w:val="20"/>
          <w:szCs w:val="20"/>
          <w:u w:val="none"/>
          <w:lang w:val="es-ES" w:eastAsia="es-ES"/>
        </w:rPr>
        <w:t xml:space="preserve"> con las normas de auditoría vigentes, e incluya la verificación de la congruencia de los documentos examinados con la información sobre las decisiones societarias expuestas en actas, como así también la adecuación de dichas decisiones a la ley y a los estatutos, en lo relativo a sus aspectos formales y documentales. </w:t>
      </w:r>
      <w:r>
        <w:rPr>
          <w:rFonts w:cs="Calibri" w:ascii="FreeSans" w:hAnsi="FreeSans"/>
          <w:b w:val="false"/>
          <w:bCs w:val="false"/>
          <w:spacing w:val="-3"/>
          <w:sz w:val="20"/>
          <w:szCs w:val="20"/>
          <w:u w:val="none"/>
          <w:lang w:val="es-AR" w:eastAsia="es-AR"/>
        </w:rPr>
        <w:t xml:space="preserve">Para realizar nuestra tarea profesional sobre los documentos detallados en el párrafo “Introducción”, hemos revisado la auditoría efectuada por los auditores </w:t>
      </w:r>
      <w:r>
        <w:rPr>
          <w:rFonts w:cs="Calibri" w:ascii="FreeSans" w:hAnsi="FreeSans"/>
          <w:b w:val="false"/>
          <w:bCs w:val="false"/>
          <w:spacing w:val="-3"/>
          <w:sz w:val="20"/>
          <w:szCs w:val="20"/>
          <w:u w:val="none"/>
          <w:lang w:val="es-ES" w:eastAsia="es-AR"/>
        </w:rPr>
        <w:t>externos</w:t>
      </w:r>
      <w:r>
        <w:rPr>
          <w:rFonts w:cs="Calibri" w:ascii="FreeSans" w:hAnsi="FreeSans"/>
          <w:b w:val="false"/>
          <w:bCs w:val="false"/>
          <w:spacing w:val="-3"/>
          <w:sz w:val="20"/>
          <w:szCs w:val="20"/>
          <w:u w:val="none"/>
          <w:lang w:val="es-AR" w:eastAsia="es-AR"/>
        </w:rPr>
        <w:t xml:space="preserve">, Dr. Gustavo G. Carballal (socio de Deloitte S.C.), quienes emitieron su informe de fecha 8 de marzo de 2019, de acuerdo con las normas de auditoría vigentes. Dicha revisión incluyó la verificación de la planificación del trabajo, de la naturaleza, alcance y oportunidad de los procedimientos aplicados y de los resultados de la auditoría efectuada por dichos profesionales. </w:t>
      </w:r>
      <w:r>
        <w:rPr>
          <w:rFonts w:eastAsia="Times New Roman" w:cs="Times New Roman" w:ascii="FreeSans" w:hAnsi="FreeSans"/>
          <w:b w:val="false"/>
          <w:bCs w:val="false"/>
          <w:color w:val="00000A"/>
          <w:spacing w:val="-3"/>
          <w:sz w:val="20"/>
          <w:szCs w:val="20"/>
          <w:u w:val="none"/>
          <w:lang w:val="es-AR" w:eastAsia="en-US" w:bidi="ar-SA"/>
        </w:rPr>
        <w:t xml:space="preserve">El profesional mencionado ha llevado a cabo su examen  sobre los estados contables adjuntos de conformidad con las normas de  auditoría establecidas en la Resolución Técnica N° 37 de la FACPCE. Dichas normas exigen que cumpla los requerimientos de ética, así como que planifique y ejecute la auditoría con el fin de obtener una seguridad razonable de que los estados contables están libres de incorrecciones significativas. </w:t>
      </w:r>
      <w:r>
        <w:rPr>
          <w:rFonts w:cs="Calibri" w:ascii="FreeSans" w:hAnsi="FreeSans"/>
          <w:b w:val="false"/>
          <w:bCs w:val="false"/>
          <w:spacing w:val="-3"/>
          <w:sz w:val="20"/>
          <w:szCs w:val="20"/>
          <w:u w:val="none"/>
          <w:lang w:val="es-AR" w:eastAsia="es-AR"/>
        </w:rPr>
        <w:t xml:space="preserve">Una auditoría conlleva la aplicación de procedimientos para obtener elementos de juicio sobre 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Sociedad de los estados contables del Fondo, con el fin de diseñar los procedimientos de auditoría que sean adecuados en función de las circunstancias y no con la finalidad de expresar una opinión sobre la eficacia del control interno de la Sociedad. Una auditoría también incluye la evaluación de la adecuación de las políticas contables aplicadas y de la razonabilidad de las estimaciones contables realizadas por el Directorio y la Gerencia de la Sociedad, así como la evaluación de la presentación de los estados contables en su conjunto. Dado que no es responsabilidad de la Comisión Fiscalizadora efectuar un control de gestión, el examen no se extendió a los criterios y decisiones empresarias de las diversas áreas de la Sociedad, cuestiones que son de responsabilidad exclusiva del Directorio. Consideramos que los elementos de juicio que hemos obtenido proporcionan una base </w:t>
      </w:r>
      <w:r>
        <w:rPr>
          <w:rFonts w:cs="Calibri" w:ascii="FreeSans" w:hAnsi="FreeSans"/>
          <w:b w:val="false"/>
          <w:bCs w:val="false"/>
          <w:spacing w:val="-3"/>
          <w:sz w:val="20"/>
          <w:szCs w:val="20"/>
          <w:u w:val="none"/>
          <w:lang w:val="en-US" w:eastAsia="es-AR"/>
        </w:rPr>
        <w:t xml:space="preserve">suficiente y adecuada para nuestra opinión de auditoría. Asimismo, en relación con la Memoria del Directorio correspondiente al ejercicio terminado el 31 de diciembre de 2018, hemos verificado que contiene la información requerida por el art. 66 de la Ley General de Sociedades y, en lo que es materia de nuestra competencia, que sus datos numéricos concuerdan con los registros contables de la Sociedad y otra documentación pertinente. </w:t>
      </w:r>
      <w:r>
        <w:rPr>
          <w:rFonts w:cs="Calibri" w:ascii="FreeSans" w:hAnsi="FreeSans"/>
          <w:b/>
          <w:bCs w:val="false"/>
          <w:spacing w:val="-3"/>
          <w:sz w:val="20"/>
          <w:szCs w:val="20"/>
          <w:u w:val="none"/>
          <w:lang w:val="es-AR" w:eastAsia="es-AR"/>
        </w:rPr>
        <w:t xml:space="preserve">Opinión </w:t>
      </w:r>
      <w:r>
        <w:rPr>
          <w:rFonts w:cs="Calibri" w:ascii="FreeSans" w:hAnsi="FreeSans"/>
          <w:b w:val="false"/>
          <w:bCs w:val="false"/>
          <w:spacing w:val="-3"/>
          <w:sz w:val="20"/>
          <w:szCs w:val="20"/>
          <w:u w:val="none"/>
          <w:lang w:val="es-ES" w:eastAsia="es-AR"/>
        </w:rPr>
        <w:t xml:space="preserve">En nuestra opinión, basado en el examen realizado, con el alcance descripto en el párrafo “Responsabilidad de la Comisión Fiscalizadora”, y en el informe del Cr. Gustavo G. Carballal (socio de la firma Deloitte S.C.) de fecha 8 de marzo de 2019, </w:t>
      </w:r>
      <w:r>
        <w:rPr>
          <w:rFonts w:cs="Calibri" w:ascii="FreeSans" w:hAnsi="FreeSans"/>
          <w:b w:val="false"/>
          <w:bCs w:val="false"/>
          <w:spacing w:val="-3"/>
          <w:sz w:val="20"/>
          <w:szCs w:val="20"/>
          <w:u w:val="none"/>
          <w:lang w:val="es-AR" w:eastAsia="es-AR"/>
        </w:rPr>
        <w:t xml:space="preserve">los estados contables adjuntos presentan razonablemente, en todos sus aspectos significativos, la situación patrimonial de BNP Paribas Investment Partners Argentina S.A. Sociedad Gerente de Fondos Comunes de Inversión  al 31 de diciembre de 2018, así como sus resultados, la evolución del patrimonio neto y el flujo de su efectivo correspondiente al ejercicio terminado en esa fecha, de conformidad con las normas contables vigentes. </w:t>
      </w:r>
      <w:r>
        <w:rPr>
          <w:rFonts w:eastAsia="Times New Roman" w:cs="Times New Roman" w:ascii="FreeSans" w:hAnsi="FreeSans"/>
          <w:b/>
          <w:bCs w:val="false"/>
          <w:i w:val="false"/>
          <w:iCs w:val="false"/>
          <w:color w:val="00000A"/>
          <w:spacing w:val="-3"/>
          <w:sz w:val="20"/>
          <w:szCs w:val="20"/>
          <w:u w:val="none"/>
          <w:lang w:val="es-AR" w:eastAsia="en-US" w:bidi="ar-SA"/>
        </w:rPr>
        <w:t xml:space="preserve">Párrafo de énfasis </w:t>
      </w:r>
      <w:r>
        <w:rPr>
          <w:rFonts w:eastAsia="Times New Roman" w:cs="Times New Roman" w:ascii="FreeSans" w:hAnsi="FreeSans"/>
          <w:b w:val="false"/>
          <w:bCs w:val="false"/>
          <w:color w:val="00000A"/>
          <w:spacing w:val="-3"/>
          <w:sz w:val="20"/>
          <w:szCs w:val="20"/>
          <w:u w:val="none"/>
          <w:lang w:val="es-AR" w:eastAsia="en-US" w:bidi="ar-SA"/>
        </w:rPr>
        <w:t xml:space="preserve">Sin modificar nuestra opinión, queremos enfatizar la información contenida en la nota 1.2 a los estados contables adjuntos, en la cual la Sociedad manifiesta que las cifras en ellos expuestas, así como la información comparativa correspondiente al ejercicio precedente, han sido reexpresadas en moneda constante de diciembre de 2018, con efecto retroactivo. </w:t>
      </w:r>
      <w:r>
        <w:rPr>
          <w:rFonts w:cs="Calibri" w:ascii="FreeSans" w:hAnsi="FreeSans"/>
          <w:b/>
          <w:bCs w:val="false"/>
          <w:spacing w:val="-3"/>
          <w:sz w:val="20"/>
          <w:szCs w:val="20"/>
          <w:u w:val="none"/>
          <w:lang w:val="es-AR" w:eastAsia="es-AR"/>
        </w:rPr>
        <w:t xml:space="preserve">Informe sobre cumplimiento de disposiciones vigentes a) </w:t>
      </w:r>
      <w:r>
        <w:rPr>
          <w:rFonts w:cs="Calibri" w:ascii="FreeSans" w:hAnsi="FreeSans"/>
          <w:b w:val="false"/>
          <w:bCs w:val="false"/>
          <w:spacing w:val="-3"/>
          <w:sz w:val="20"/>
          <w:szCs w:val="20"/>
          <w:u w:val="none"/>
          <w:lang w:val="es-AR" w:eastAsia="es-AR"/>
        </w:rPr>
        <w:t xml:space="preserve">Los estados contables al 31 de diciembre de 2018 de BNP Paribas Investment Partners Argentina S.A. Sociedad Gerente de Fondos Comunes de Inversión se encuentran asentados en el libro Inventario y Balances y surgen de registros contables de la Sociedad llevados en sus aspectos formales de conformidad con normas legales y las normas reglamentarias de la Comisión Nacional de Valores. b) Hemos aplicado los procedimientos sobre prevención de lavado de activos de origen delictivo y financiación del terrorismo para la Sociedad previstos en la Resolución N.º 420/11 de la Federación Argentina de Consejos Profesionales de Ciencias Económicas de la Ciudad Autónoma de Buenos Aires. c) </w:t>
      </w:r>
      <w:r>
        <w:rPr>
          <w:rFonts w:eastAsia="Times New Roman" w:cs="Times New Roman" w:ascii="FreeSans" w:hAnsi="FreeSans"/>
          <w:b w:val="false"/>
          <w:bCs w:val="false"/>
          <w:color w:val="00000A"/>
          <w:spacing w:val="-3"/>
          <w:sz w:val="20"/>
          <w:szCs w:val="20"/>
          <w:u w:val="none"/>
          <w:lang w:val="es-AR" w:eastAsia="en-US" w:bidi="ar-SA"/>
        </w:rPr>
        <w:t xml:space="preserve">No tenemos observaciones significativas que formular, en lo que es materia de nuestra competencia, sobre la información incluida en la nota 8 a los estados contables mencionados en el primer párrafo del capítulo 1, en relación con las exigencias establecidas por la Comisión Nacional de Valores respecto a Patrimonio Neto mínimo y Contrapartida. d)Conforme con el artículo 145 de la Res 7/2015 de la IGJ, informamos que hemos examinado los documentos que acreditan el de la constitución de la garantía de gestión, por parte de los directores titulares instrumentadas a través de Garantías Bancarias extendidas por BNP Paribas Sucursal Buenos Aires con el fin de constituirse fiadores solidarios. Se indica que la fianza emitida se mantendrá plenamente vigente durante todo el plazo en el que cada uno de los directores de la sociedad ejerzan tal función y hasta tanto se (1) disponga aprobar su gestión respecto del último ejercicio en el que se preste funciones o se efectúe renuncia expresa o transacción en tal sentido, excepto los supuestos de excepción previstos en el Art. 275 in fine de la Ley 19550, o en su defecto (2) se cumpla el plazo de prescripción para el ejercicio de las acciones correspondientes. e) Los auditores externos han desarrollado su auditoría aplicando las normas de auditoría vigentes establecidas por la Federación Argentina de Consejos Profesionales de Ciencias Económicas. Dichas normas requieren la independencia y objetividad de criterio del auditor externo con relación a la auditoría de los estados contables mencionados. </w:t>
      </w:r>
      <w:r>
        <w:rPr>
          <w:rFonts w:eastAsia="Times New Roman" w:cs="Georgia" w:ascii="FreeSans" w:hAnsi="FreeSans"/>
          <w:b w:val="false"/>
          <w:bCs w:val="false"/>
          <w:color w:val="00000A"/>
          <w:spacing w:val="-3"/>
          <w:sz w:val="20"/>
          <w:szCs w:val="20"/>
          <w:u w:val="none"/>
          <w:lang w:val="es-AR" w:eastAsia="en-US" w:bidi="ar-SA"/>
        </w:rPr>
        <w:t>f)En relación con la Memoria del Directorio, no tenemos observaciones que formular en materia de nuestra competencia, siendo las afirmaciones sobre hechos futuros responsabilidad exclusiva del Directorio de la Sociedad.</w:t>
      </w:r>
    </w:p>
    <w:p>
      <w:pPr>
        <w:pStyle w:val="Normal"/>
        <w:jc w:val="both"/>
        <w:rPr>
          <w:rFonts w:ascii="FreeSans" w:hAnsi="FreeSans"/>
          <w:sz w:val="20"/>
          <w:szCs w:val="20"/>
        </w:rPr>
      </w:pPr>
      <w:r>
        <w:rPr>
          <w:rFonts w:ascii="FreeSans" w:hAnsi="FreeSans"/>
          <w:sz w:val="20"/>
          <w:szCs w:val="20"/>
        </w:rPr>
      </w:r>
    </w:p>
    <w:p>
      <w:pPr>
        <w:pStyle w:val="Normal"/>
        <w:jc w:val="both"/>
        <w:rPr/>
      </w:pPr>
      <w:r>
        <w:rPr>
          <w:rFonts w:ascii="FreeSans" w:hAnsi="FreeSans"/>
          <w:sz w:val="20"/>
          <w:szCs w:val="20"/>
        </w:rPr>
        <w:t>Se resuelve delegar la firma del informe preparado por esta Comisión Fiscalizadora en la Contadora Sandra Esther Juri.</w:t>
      </w:r>
    </w:p>
    <w:p>
      <w:pPr>
        <w:pStyle w:val="Normal"/>
        <w:jc w:val="both"/>
        <w:rPr>
          <w:rFonts w:ascii="FreeSans" w:hAnsi="FreeSans"/>
          <w:sz w:val="20"/>
          <w:szCs w:val="20"/>
        </w:rPr>
      </w:pPr>
      <w:r>
        <w:rPr>
          <w:rFonts w:ascii="FreeSans" w:hAnsi="FreeSans"/>
          <w:sz w:val="20"/>
          <w:szCs w:val="20"/>
        </w:rPr>
      </w:r>
    </w:p>
    <w:p>
      <w:pPr>
        <w:pStyle w:val="Normal"/>
        <w:jc w:val="both"/>
        <w:rPr/>
      </w:pPr>
      <w:r>
        <w:rPr>
          <w:rFonts w:ascii="FreeSans" w:hAnsi="FreeSans"/>
          <w:sz w:val="20"/>
          <w:szCs w:val="20"/>
        </w:rPr>
        <w:t>No habiendo más asuntos que tratar, previa lectura, firma y aprobación del acta, siendo las 8:30 horas se levanta la sesión.</w:t>
      </w:r>
    </w:p>
    <w:p>
      <w:pPr>
        <w:pStyle w:val="Normal"/>
        <w:jc w:val="both"/>
        <w:rPr>
          <w:rFonts w:ascii="FreeSans" w:hAnsi="FreeSans"/>
          <w:sz w:val="20"/>
          <w:szCs w:val="20"/>
        </w:rPr>
      </w:pPr>
      <w:r>
        <w:rPr>
          <w:rFonts w:ascii="FreeSans" w:hAnsi="FreeSans"/>
          <w:sz w:val="20"/>
          <w:szCs w:val="20"/>
        </w:rPr>
      </w:r>
    </w:p>
    <w:p>
      <w:pPr>
        <w:pStyle w:val="Normal"/>
        <w:jc w:val="both"/>
        <w:rPr>
          <w:rFonts w:ascii="FreeSans" w:hAnsi="FreeSans"/>
          <w:sz w:val="20"/>
          <w:szCs w:val="20"/>
        </w:rPr>
      </w:pPr>
      <w:r>
        <w:rPr>
          <w:rFonts w:ascii="FreeSans" w:hAnsi="FreeSans"/>
          <w:sz w:val="20"/>
          <w:szCs w:val="20"/>
        </w:rPr>
      </w:r>
    </w:p>
    <w:p>
      <w:pPr>
        <w:pStyle w:val="Normal"/>
        <w:jc w:val="both"/>
        <w:rPr>
          <w:rFonts w:ascii="FreeSans" w:hAnsi="FreeSans"/>
          <w:sz w:val="20"/>
          <w:szCs w:val="20"/>
        </w:rPr>
      </w:pPr>
      <w:r>
        <w:rPr>
          <w:rFonts w:ascii="FreeSans" w:hAnsi="FreeSans"/>
          <w:sz w:val="20"/>
          <w:szCs w:val="20"/>
        </w:rPr>
      </w:r>
    </w:p>
    <w:p>
      <w:pPr>
        <w:pStyle w:val="Normal"/>
        <w:jc w:val="both"/>
        <w:rPr>
          <w:rFonts w:ascii="FreeSans" w:hAnsi="FreeSans"/>
          <w:sz w:val="20"/>
          <w:szCs w:val="20"/>
        </w:rPr>
      </w:pPr>
      <w:r>
        <w:rPr>
          <w:rFonts w:ascii="FreeSans" w:hAnsi="FreeSans"/>
          <w:sz w:val="20"/>
          <w:szCs w:val="20"/>
        </w:rPr>
      </w:r>
    </w:p>
    <w:tbl>
      <w:tblPr>
        <w:tblW w:w="9638" w:type="dxa"/>
        <w:jc w:val="left"/>
        <w:tblInd w:w="55" w:type="dxa"/>
        <w:tblBorders/>
        <w:tblCellMar>
          <w:top w:w="55" w:type="dxa"/>
          <w:left w:w="55" w:type="dxa"/>
          <w:bottom w:w="55" w:type="dxa"/>
          <w:right w:w="55" w:type="dxa"/>
        </w:tblCellMar>
      </w:tblPr>
      <w:tblGrid>
        <w:gridCol w:w="3212"/>
        <w:gridCol w:w="3213"/>
        <w:gridCol w:w="3213"/>
      </w:tblGrid>
      <w:tr>
        <w:trPr>
          <w:trHeight w:val="338" w:hRule="atLeast"/>
        </w:trPr>
        <w:tc>
          <w:tcPr>
            <w:tcW w:w="3212" w:type="dxa"/>
            <w:tcBorders/>
            <w:shd w:fill="auto" w:val="clear"/>
          </w:tcPr>
          <w:p>
            <w:pPr>
              <w:pStyle w:val="Contenidodelatabla"/>
              <w:jc w:val="both"/>
              <w:rPr>
                <w:rFonts w:ascii="FreeSans" w:hAnsi="FreeSans"/>
                <w:sz w:val="20"/>
                <w:szCs w:val="20"/>
              </w:rPr>
            </w:pPr>
            <w:r>
              <w:rPr>
                <w:rFonts w:ascii="FreeSans" w:hAnsi="FreeSans"/>
                <w:sz w:val="20"/>
                <w:szCs w:val="20"/>
              </w:rPr>
              <w:t>Sandra Esther Juri</w:t>
            </w:r>
          </w:p>
        </w:tc>
        <w:tc>
          <w:tcPr>
            <w:tcW w:w="3213" w:type="dxa"/>
            <w:tcBorders/>
            <w:shd w:fill="auto" w:val="clear"/>
          </w:tcPr>
          <w:p>
            <w:pPr>
              <w:pStyle w:val="Contenidodelatabla"/>
              <w:jc w:val="both"/>
              <w:rPr>
                <w:rFonts w:ascii="FreeSans" w:hAnsi="FreeSans"/>
                <w:sz w:val="20"/>
                <w:szCs w:val="20"/>
              </w:rPr>
            </w:pPr>
            <w:r>
              <w:rPr>
                <w:rFonts w:ascii="FreeSans" w:hAnsi="FreeSans"/>
                <w:sz w:val="20"/>
                <w:szCs w:val="20"/>
              </w:rPr>
              <w:t>Tomás Martín Tomkinson</w:t>
            </w:r>
          </w:p>
        </w:tc>
        <w:tc>
          <w:tcPr>
            <w:tcW w:w="3213" w:type="dxa"/>
            <w:tcBorders/>
            <w:shd w:fill="auto" w:val="clear"/>
          </w:tcPr>
          <w:p>
            <w:pPr>
              <w:pStyle w:val="Contenidodelatabla"/>
              <w:jc w:val="both"/>
              <w:rPr>
                <w:rFonts w:ascii="FreeSans" w:hAnsi="FreeSans"/>
                <w:sz w:val="20"/>
                <w:szCs w:val="20"/>
              </w:rPr>
            </w:pPr>
            <w:r>
              <w:rPr>
                <w:rFonts w:ascii="FreeSans" w:hAnsi="FreeSans"/>
                <w:sz w:val="20"/>
                <w:szCs w:val="20"/>
              </w:rPr>
              <w:t>Darío Gabriel Melnitzky</w:t>
            </w:r>
          </w:p>
        </w:tc>
      </w:tr>
    </w:tbl>
    <w:p>
      <w:pPr>
        <w:pStyle w:val="Normal"/>
        <w:jc w:val="both"/>
        <w:rPr/>
      </w:pPr>
      <w:r>
        <w:rPr/>
      </w:r>
    </w:p>
    <w:p>
      <w:pPr>
        <w:pStyle w:val="Normal"/>
        <w:jc w:val="both"/>
        <w:rPr/>
      </w:pPr>
      <w:r>
        <w:rPr/>
      </w:r>
    </w:p>
    <w:p>
      <w:pPr>
        <w:pStyle w:val="Normal"/>
        <w:jc w:val="both"/>
        <w:rPr/>
      </w:pPr>
      <w:r>
        <w:rPr/>
      </w:r>
    </w:p>
    <w:sectPr>
      <w:type w:val="nextPage"/>
      <w:pgSz w:w="12240" w:h="18720"/>
      <w:pgMar w:left="1134" w:right="1134" w:header="0" w:top="1134" w:footer="0" w:bottom="130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Book Antiqua">
    <w:charset w:val="01"/>
    <w:family w:val="roman"/>
    <w:pitch w:val="variable"/>
  </w:font>
  <w:font w:name="Times New Roman">
    <w:charset w:val="01"/>
    <w:family w:val="roman"/>
    <w:pitch w:val="variable"/>
  </w:font>
  <w:font w:name="FreeSans">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s-AR"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es-AR" w:eastAsia="zh-CN" w:bidi="hi-IN"/>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extoinfaud">
    <w:name w:val="Texto inf. aud."/>
    <w:basedOn w:val="Normal"/>
    <w:qFormat/>
    <w:pPr>
      <w:widowControl/>
      <w:tabs>
        <w:tab w:val="left" w:pos="720" w:leader="none"/>
        <w:tab w:val="left" w:pos="1080" w:leader="none"/>
      </w:tabs>
      <w:spacing w:lineRule="atLeast" w:line="360"/>
      <w:jc w:val="both"/>
    </w:pPr>
    <w:rPr>
      <w:rFonts w:ascii="Book Antiqua" w:hAnsi="Book Antiqua"/>
      <w:lang w:val="en-US" w:eastAsia="en-US"/>
    </w:rPr>
  </w:style>
  <w:style w:type="paragraph" w:styleId="Informaudit">
    <w:name w:val="inform. audit."/>
    <w:basedOn w:val="Normal"/>
    <w:qFormat/>
    <w:pPr>
      <w:widowControl/>
      <w:spacing w:lineRule="auto" w:line="360"/>
      <w:jc w:val="both"/>
    </w:pPr>
    <w:rPr>
      <w:rFonts w:ascii="Book Antiqua" w:hAnsi="Book Antiqua"/>
      <w:lang w:val="es-AR" w:eastAsia="en-US"/>
    </w:rPr>
  </w:style>
  <w:style w:type="paragraph" w:styleId="Auditor">
    <w:name w:val="Auditor"/>
    <w:basedOn w:val="Normal"/>
    <w:qFormat/>
    <w:pPr>
      <w:widowControl/>
      <w:spacing w:lineRule="auto" w:line="360"/>
      <w:jc w:val="both"/>
    </w:pPr>
    <w:rPr>
      <w:rFonts w:ascii="Book Antiqua" w:hAnsi="Book Antiqua"/>
      <w:lang w:val="en-US" w:eastAsia="en-US"/>
    </w:rPr>
  </w:style>
  <w:style w:type="paragraph" w:styleId="ListParagraph">
    <w:name w:val="List Paragraph"/>
    <w:basedOn w:val="Normal"/>
    <w:qFormat/>
    <w:pPr>
      <w:ind w:left="720" w:hanging="0"/>
    </w:pPr>
    <w:rPr/>
  </w:style>
  <w:style w:type="paragraph" w:styleId="Contenidodelatabla">
    <w:name w:val="Contenido de la tabla"/>
    <w:basedOn w:val="Normal"/>
    <w:qFormat/>
    <w:pPr/>
    <w:rPr/>
  </w:style>
  <w:style w:type="paragraph" w:styleId="ListParagraph1">
    <w:name w:val="List Paragraph1"/>
    <w:basedOn w:val="Normal"/>
    <w:qFormat/>
    <w:pPr>
      <w:ind w:left="720" w:hanging="0"/>
    </w:pPr>
    <w:rPr>
      <w:rFonts w:ascii="Times New Roman" w:hAnsi="Times New Roman"/>
      <w:lang w:val="en-US" w:eastAsia="en-US"/>
    </w:rPr>
  </w:style>
  <w:style w:type="numbering" w:styleId="77678369305131414601">
    <w:name w:val="77678369305131414601"/>
    <w:qFormat/>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customXml" Target="../customXml/item4.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2020-12-09T16:07:19+00:00</eDoc_UploadDate>
    <eDoc_PortalPublicationDate xmlns="60a93103-6095-4625-b5c9-7656c6bf4ad1">2020-12-09T00:00:00+00:00</eDoc_PortalPublicationDate>
    <eDoc_DocumentLink xmlns="60a93103-6095-4625-b5c9-7656c6bf4ad1" xsi:nil="true"/>
    <eDoc_Checksum xmlns="60a93103-6095-4625-b5c9-7656c6bf4ad1">934616d90f6148cfbcb67c723b2dd9b3ecaf6da3d13e17d4cfa092ff1fac5d2e</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8e5fe10a-d538-4609-8f43-7a34dda2aab4</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QCCV6AVP7WQQ-659030661-18978</_dlc_DocId>
    <_dlc_DocIdUrl xmlns="60a93103-6095-4625-b5c9-7656c6bf4ad1">
      <Url>https://bnpparibas.sharepoint.com/sites/am-edocs/public/_layouts/15/DocIdRedir.aspx?ID=QCCV6AVP7WQQ-659030661-18978</Url>
      <Description>QCCV6AVP7WQQ-659030661-18978</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A8578-C6FA-4AD5-8D25-E5ECDDDA13A7}"/>
</file>

<file path=customXml/itemProps2.xml><?xml version="1.0" encoding="utf-8"?>
<ds:datastoreItem xmlns:ds="http://schemas.openxmlformats.org/officeDocument/2006/customXml" ds:itemID="{E5D6EE6D-49DC-47D7-8A00-FCAF5A7666AF}"/>
</file>

<file path=customXml/itemProps3.xml><?xml version="1.0" encoding="utf-8"?>
<ds:datastoreItem xmlns:ds="http://schemas.openxmlformats.org/officeDocument/2006/customXml" ds:itemID="{72E87E39-F07F-4541-9B1C-11F0AFFBEE2D}"/>
</file>

<file path=customXml/itemProps4.xml><?xml version="1.0" encoding="utf-8"?>
<ds:datastoreItem xmlns:ds="http://schemas.openxmlformats.org/officeDocument/2006/customXml" ds:itemID="{BDFACE78-0DA0-416E-B46D-58C23808E4FD}"/>
</file>

<file path=docProps/app.xml><?xml version="1.0" encoding="utf-8"?>
<Properties xmlns="http://schemas.openxmlformats.org/officeDocument/2006/extended-properties" xmlns:vt="http://schemas.openxmlformats.org/officeDocument/2006/docPropsVTypes">
  <Template/>
  <TotalTime>166</TotalTime>
  <Application>LibreOffice/5.1.6.2$Linux_X86_64 LibreOffice_project/10m0$Build-2</Application>
  <Pages>2</Pages>
  <Words>1771</Words>
  <Characters>9772</Characters>
  <CharactersWithSpaces>11542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31</cp:revision>
  <cp:lastPrinted>2019-03-18T12:22:41Z</cp:lastPrinted>
  <dcterms:created xsi:type="dcterms:W3CDTF">2017-03-20T14:18:32Z</dcterms:created>
  <dcterms:modified xsi:type="dcterms:W3CDTF">2019-03-18T13:42:10Z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0x0101004B6A54ECE1E505468611928E47E1020201010075E7C72B8710054EBC548416F6FBA601</vt:lpwstr>
  </property>
  <property fmtid="{D5CDD505-2E9C-101B-9397-08002B2CF9AE}" pid="3" name="eDoc_InvestmentCenter">
    <vt:lpwstr/>
  </property>
  <property fmtid="{D5CDD505-2E9C-101B-9397-08002B2CF9AE}" pid="4" name="eDoc_DistributionNetwork">
    <vt:lpwstr/>
  </property>
  <property fmtid="{D5CDD505-2E9C-101B-9397-08002B2CF9AE}" pid="5" name="eDoc_DocumentType">
    <vt:lpwstr>7631;#Guideline|c665df4e-3b8e-4201-8218-d861f807182c</vt:lpwstr>
  </property>
  <property fmtid="{D5CDD505-2E9C-101B-9397-08002B2CF9AE}" pid="6" name="eDoc_Funds">
    <vt:lpwstr/>
  </property>
  <property fmtid="{D5CDD505-2E9C-101B-9397-08002B2CF9AE}" pid="8" name="eDoc_Language">
    <vt:lpwstr>519;#Spanish|2a911128-bba8-4530-af58-1a1708459371</vt:lpwstr>
  </property>
  <property fmtid="{D5CDD505-2E9C-101B-9397-08002B2CF9AE}" pid="9" name="eDoc_ProNoPro">
    <vt:lpwstr>1;#Non Pro|0d42a436-3d3e-4510-9840-665633231275</vt:lpwstr>
  </property>
  <property fmtid="{D5CDD505-2E9C-101B-9397-08002B2CF9AE}" pid="11" name="eDoc_Origin">
    <vt:lpwstr>23;#Contribution|c35ddb5a-2c24-430a-b699-c1dc76ae79f3</vt:lpwstr>
  </property>
  <property fmtid="{D5CDD505-2E9C-101B-9397-08002B2CF9AE}" pid="12" name="eDoc_Audience">
    <vt:lpwstr>31;#ALL|dfb19f3d-0467-42fe-832d-1e717d3f0a73</vt:lpwstr>
  </property>
  <property fmtid="{D5CDD505-2E9C-101B-9397-08002B2CF9AE}" pid="13" name="eDoc_Currency">
    <vt:lpwstr/>
  </property>
  <property fmtid="{D5CDD505-2E9C-101B-9397-08002B2CF9AE}" pid="14" name="eDoc_InvestmentCenterTaxHTField0">
    <vt:lpwstr/>
  </property>
  <property fmtid="{D5CDD505-2E9C-101B-9397-08002B2CF9AE}" pid="15" name="eDoc_PublicationCountry">
    <vt:lpwstr>6801;#Argentina|bdc01108-0c5a-40f6-aa88-caa4f6bbf66c</vt:lpwstr>
  </property>
  <property fmtid="{D5CDD505-2E9C-101B-9397-08002B2CF9AE}" pid="16" name="eDoc_Periodicity">
    <vt:lpwstr>21;#adhoc|50733b46-d106-4a0c-80f2-dfd4e2dc28ed</vt:lpwstr>
  </property>
  <property fmtid="{D5CDD505-2E9C-101B-9397-08002B2CF9AE}" pid="18" name="eDoc_FundsTaxHTField0">
    <vt:lpwstr/>
  </property>
  <property fmtid="{D5CDD505-2E9C-101B-9397-08002B2CF9AE}" pid="19" name="eDoc_CurrencyTaxHTField0">
    <vt:lpwstr/>
  </property>
  <property fmtid="{D5CDD505-2E9C-101B-9397-08002B2CF9AE}" pid="20" name="Order">
    <vt:r8>158478000</vt:r8>
  </property>
  <property fmtid="{D5CDD505-2E9C-101B-9397-08002B2CF9AE}" pid="21" name="d33f7568dc3e4446a5a9b8800e12be31">
    <vt:lpwstr/>
  </property>
  <property fmtid="{D5CDD505-2E9C-101B-9397-08002B2CF9AE}" pid="22" name="ia3973d6fef24162bf255d23de05c261">
    <vt:lpwstr/>
  </property>
  <property fmtid="{D5CDD505-2E9C-101B-9397-08002B2CF9AE}" pid="23" name="_ExtendedDescription">
    <vt:lpwstr/>
  </property>
  <property fmtid="{D5CDD505-2E9C-101B-9397-08002B2CF9AE}" pid="24" name="n84c15e3b8934f74a3830ccbe944b633">
    <vt:lpwstr/>
  </property>
  <property fmtid="{D5CDD505-2E9C-101B-9397-08002B2CF9AE}" pid="25" name="MediaServiceImageTags">
    <vt:lpwstr/>
  </property>
  <property fmtid="{D5CDD505-2E9C-101B-9397-08002B2CF9AE}" pid="26" name="_dlc_DocIdItemGuid">
    <vt:lpwstr>b226fbc9-551d-4900-aa30-580066a89972</vt:lpwstr>
  </property>
  <property fmtid="{D5CDD505-2E9C-101B-9397-08002B2CF9AE}" pid="27" name="e29cc4a77b0e424abf749846b1b16262">
    <vt:lpwstr>Non Pro|0d42a436-3d3e-4510-9840-665633231275</vt:lpwstr>
  </property>
</Properties>
</file>